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izTitle"/>
        <w:jc w:val="right"/>
      </w:pPr>
      <w:bookmarkStart w:id="0" w:name="_Toc256000000"/>
      <w:r w:rsidRPr="00275F9A">
        <w:t>Descentralização de Crédito para Despesas de Imóveis Perdidos_V1.0</w:t>
      </w:r>
      <w:bookmarkEnd w:id="0"/>
    </w:p>
    <w:p w:rsidR="00B603BE" w:rsidRPr="00275F9A" w:rsidP="00032CAE">
      <w:pPr>
        <w:pStyle w:val="bizSubtitle"/>
        <w:jc w:val="right"/>
      </w:pPr>
      <w:bookmarkStart w:id="1" w:name="_Toc256000001"/>
      <w:r w:rsidRPr="00275F9A">
        <w:t>Bizagi Modeler</w:t>
      </w:r>
      <w:bookmarkEnd w:id="1"/>
    </w:p>
    <w:p w:rsidR="00B603BE" w:rsidRPr="00275F9A">
      <w:pPr>
        <w:sectPr w:rsidSect="00503EE8">
          <w:headerReference w:type="default" r:id="rId6"/>
          <w:footerReference w:type="even" r:id="rId7"/>
          <w:footerReference w:type="default" r:id="rId8"/>
          <w:footerReference w:type="first" r:id="rId9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 w:rsidR="00B603BE">
          <w:rPr>
            <w:rStyle w:val="Hyperlink"/>
          </w:rPr>
          <w:t>Descentralização de Crédito para Despesas de Imóveis Perdidos_V1.0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Pr="00275F9A" w:rsidR="00B603BE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Descentralização de crédito para despesas de imóveis perdidos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Descentralização de crédito para despesas de imóveis perdidos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70680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gestão da manutenção e conservação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411505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Identificar despesas e solicitar crédito orçamentário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443269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Avaliar solicitação de crédito e solicitar destaque orçamentário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670614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destaque orçamentário de despesas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628813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Efetuar empenho e solicitar faturas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286236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Fornecer faturas de despesas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82095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Avaliar faturas e solicitar recursos financeiros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06844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repasse de recursos financeiros de despesas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925109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Efetuar pagamento de despesas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569777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Decisão judicial definitiva de perdimento de imóvel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456914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levantamento de imóveis perdidos e solicitar gestão da manutenção e conservação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08073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SPU / UC (CGOFI)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14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headerReference w:type="even" r:id="rId13"/>
          <w:headerReference w:type="default" r:id="rId14"/>
          <w:footerReference w:type="default" r:id="rId15"/>
          <w:headerReference w:type="first" r:id="rId16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69767213ff3a445c9f35b52b161dd977"/>
      <w:bookmarkStart w:id="3" w:name="_Toc256000002"/>
      <w:r>
        <w:t>Descentralização de crédito para despesas de imóveis perdidos</w:t>
      </w:r>
      <w:bookmarkEnd w:id="3"/>
    </w:p>
    <w:p>
      <w:pPr>
        <w:jc w:val="center"/>
      </w:pPr>
      <w:bookmarkEnd w:id="2"/>
      <w:r>
        <w:drawing>
          <wp:inline>
            <wp:extent cx="7898130" cy="5102632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786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510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Descentralização de crédito para despesas de imóveis perdidos em favor da União, por decorrência da prática de crimes</w:t>
      </w: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CEPRO/CGGES/DEGOV/SPU/MGI</w:t>
      </w:r>
    </w:p>
    <w:p>
      <w:pPr>
        <w:pStyle w:val="bizHeading2"/>
      </w:pPr>
      <w:bookmarkStart w:id="4" w:name="Id_3748e6a19d5b4beaa78bc1e9d1c5eaba"/>
      <w:bookmarkStart w:id="5" w:name="_Toc256000003"/>
      <w:r>
        <w:t>Descentralização de crédito para despesas de imóveis perdidos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8062820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041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gestão da manutenção e conservação</w:t>
      </w:r>
      <w:bookmarkEnd w:id="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bookmarkStart w:id="8" w:name="_dx_frag_StartFragment"/>
      <w:bookmarkEnd w:id="8"/>
      <w:bookmarkStart w:id="9" w:name="art19"/>
      <w:bookmarkEnd w:id="9"/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À SPU/UF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realiza 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guarda, manutenção, fiscalização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e demais atos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gestão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necessários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manutenção e conservação do imóvel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enquanto vago para uso ou não alienado pelo MJSP (SENAD).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     1.1 Os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custos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derivados das ações de gestão e administração dos imóveis deverão ser suportados pelo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Fundo Nacional Antidrogas (FUNAD)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do MJSP (SENAD). 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 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   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0" w:name="_Toc256000006"/>
      <w:r>
        <w:drawing>
          <wp:inline>
            <wp:extent cx="152421" cy="152421"/>
            <wp:docPr id="12115279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972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Identificar despesas e solicitar crédito orçamentário</w:t>
      </w:r>
      <w:bookmarkEnd w:id="1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À SPU/UF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identifica as despesas de custeio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necessárias à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manutenção e conservação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dos imóveis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perdidos em favor da União.  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3.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Elabora o seguinte documento no processo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 3.1 Minuta de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Ofício SPU/UF - Solicitação de crédito orçamentário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3. Encaminha à SPU/UC (CGOFI) o processo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SEI solicitando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 crédito orçamentário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para despesas de custeio identificadas, acompanho 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Minuta de Ofício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em anexo.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1" w:name="_Toc256000007"/>
      <w:r>
        <w:drawing>
          <wp:inline>
            <wp:extent cx="152421" cy="152421"/>
            <wp:docPr id="11687623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2314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Avaliar solicitação de crédito e solicitar destaque orçamentário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À SPU/UC (CGOFI)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avalia a solicitação de crédito orçamentário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para pagamento de despesas de custeio necessárias à manutenção e conservação dos imóveis perdidos em favor da União.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2.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Considerando 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forma originária de aquisição de propriedade em favor da União, por meio de sentença penal condenatória, ou seja, Sentença Judicial Transitada em Julgado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, apenas os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débitos e obrigações de natureza real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(propter rem), tais como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despesas condominiais e obrigações de natureza ambiental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, subsistem após o trânsito em julgado da sentença penal.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3. Os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custos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derivados das despesas de imóveis perdidos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deverão ser suportados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por créditos orçamentários descentralizados do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Fundo Nacional Antidrogas (FUNAD)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do MJSP (SENAD). 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     3.1 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destaque de despesas de custeio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deve ser realizado na Natureza de Despesa de acordo com as contas a pagar.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     3.1.1 Despesas mensais: Vigilância (3.3.90.37 ou 3.3.90.39); Água e luz (3.3.90.39.xx)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     3.1.2 Despesas anuais: Taxa de coleta de lixo (3.3.90.39.xx)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4.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Elabora o seguinte documento no processo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4.1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Ofício SPU/UC (CGOFI) - Destaque orçamentário de despesas de imóveis perdidos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5. Encaminha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e-mail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ao MJSP (SENAD), pelo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,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solicitando destaque orçamentário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de despesas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de imóveis perdidos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, acompanhado do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Ofício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em anexo. Informa que o destaque orçamentário deve ser enviado direto ao MGI (SRA) pelo SIAFI.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bizHeading4"/>
      </w:pPr>
      <w:bookmarkStart w:id="12" w:name="_Toc256000008"/>
      <w:r>
        <w:drawing>
          <wp:inline>
            <wp:extent cx="152421" cy="152421"/>
            <wp:docPr id="20191807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705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destaque orçamentário de despesas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O MJSP (SENAD)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realiza 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destaque orçamentário de despesas de custeio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de imóveis perdidos em favor da União.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2.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destaque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de despesas de custeio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deve ser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realizado na Natureza de Despesa de acordo com as contas a pagar.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     2.1 Despesas mensais: Vigilância (3.3.90.37 ou 3.3.90.39); Água e luz (3.3.90.39.xx)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     2.2 Despesas anuais: Taxa de coleta de lixo (3.3.90.39.xx)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3.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Os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custos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das despesas deverão ser suportados por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créditos orçamentários descentralizados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do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Fundo Nacional Antidrogas (FUNAD)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do MJSP (SENAD).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 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 3.1 Unidade Gestora/Gestão do MJSP que enviará o crédito: 200246/00001 - FUNAD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3.2 Ação Orçamentária: 20IE - Articulação de Política Pública sobre Drogas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3.3 PTRES: 232883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3.4 Plano Orçamentário (PO): 2000 - Despesas Administrativas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 3.5 Fonte: Detalhada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4. Nota-se à seguinte observação referente ao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Decreto n° 10.426/2020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555555"/>
          <w:sz w:val="20"/>
          <w:szCs w:val="20"/>
        </w:rPr>
        <w:t>Art. 3º A descentralização de créditos orçamentários de que trata este Decreto será motivada e terá as seguintes finalidades: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>I - execução de programas, de projetos e de atividades de interesse recíproco, em regime de colaboração mútua;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>II - execução de atividades específicas pela unidade descentralizada em benefício da unidade descentralizadora; ou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>III - ressarcimento de despesas.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555555"/>
          <w:sz w:val="20"/>
          <w:szCs w:val="20"/>
        </w:rPr>
        <w:t>§ 1º As descentralizações de crédito de que tratam os incisos I e II do </w:t>
      </w: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>caput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555555"/>
          <w:sz w:val="20"/>
          <w:szCs w:val="20"/>
        </w:rPr>
        <w:t>serão realizadas por meio da celebração de TED.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555555"/>
          <w:sz w:val="20"/>
          <w:szCs w:val="20"/>
        </w:rPr>
        <w:t>§ 2º É vedada a descentralização de créditos para pagamentos decorrentes de sentenças judiciais, nos termos do disposto no art. 100 da Constituição.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>§ 3º É dispensável a celebração de TED para a descentralização de créditos: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 xml:space="preserve">I - de até R$ 234.345,37 (duzentos e trinta e quatro mil, trezentos e quarenta e cinco reais e trinta e sete centavos), para as finalidades de que tratam os incisos I e II do caput; </w:t>
      </w: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  <w:u w:val="single" w:color="555555"/>
        </w:rPr>
        <w:t>Obs.:</w:t>
      </w: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 xml:space="preserve"> Valor atualizado pelo Comunicado 02/2025.</w:t>
      </w:r>
    </w:p>
    <w:p>
      <w:pPr>
        <w:pStyle w:val="ModelerNormal"/>
        <w:shd w:val="clear" w:color="auto" w:fill="FFFFFF"/>
        <w:spacing w:before="0" w:after="0" w:afterAutospacing="1"/>
        <w:ind w:left="0" w:right="0" w:firstLine="72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555555"/>
          <w:sz w:val="20"/>
          <w:szCs w:val="20"/>
        </w:rPr>
        <w:t>II - de quaisquer valores, para a finalidade de que trata o inciso III do caput;</w:t>
      </w:r>
      <w:bookmarkStart w:id="13" w:name="_dx_frag_EndFragment"/>
      <w:bookmarkEnd w:id="13"/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5. Encaminha ao MGI (SRA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), pelo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SIAFI,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a descentralização de crédito orçamentário para despesas de custeio realizada.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bizHeading4"/>
      </w:pPr>
      <w:bookmarkStart w:id="14" w:name="_Toc256000009"/>
      <w:r>
        <w:drawing>
          <wp:inline>
            <wp:extent cx="152421" cy="152421"/>
            <wp:docPr id="4899996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97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Efetuar empenho e solicitar faturas</w:t>
      </w:r>
      <w:bookmarkEnd w:id="1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O MGI (SRA)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efetua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empenho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de custeio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, de acordo com a natureza de despesa das contas a pagar dos imóveis perdidos em favor da União.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2. Encaminha à SPU/UF o processo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SEI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 solicitando as faturas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de despesas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de custeio das contas a pagar empenhadas.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 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5" w:name="_Toc256000010"/>
      <w:r>
        <w:drawing>
          <wp:inline>
            <wp:extent cx="152421" cy="152421"/>
            <wp:docPr id="10274910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73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Fornecer faturas de despesas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À SPU/UF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fornece 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faturas de despesas de custeio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das contas a pagar dos imóveis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perdidos em favor da União.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 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2.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Encaminha ao MGI (SRA) o processo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SEI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para pagamento de despesas de custeio das faturas fornecidas.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   </w:t>
      </w:r>
    </w:p>
    <w:p>
      <w:pPr>
        <w:pStyle w:val="bizHeading4"/>
      </w:pPr>
      <w:bookmarkStart w:id="16" w:name="_Toc256000011"/>
      <w:r>
        <w:drawing>
          <wp:inline>
            <wp:extent cx="152421" cy="152421"/>
            <wp:docPr id="14007304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264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Avaliar faturas e solicitar recursos financeiros</w:t>
      </w:r>
      <w:bookmarkEnd w:id="1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O MGI (SRA)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avalia as faturas de despesas de custeio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das contas a pagar dos imóveis perdidos em favor da União.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2. Encaminha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mensagem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ao MJSP (SENAD), pelo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,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solicitando recursos financeiros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para pagamento das contas de despesas de custeio avaliadas, informando que a Unidade Gestora/Gestão do MJSP que enviará o crédito será: 200246/00001 - FUNAD.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   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7" w:name="_Toc256000012"/>
      <w:r>
        <w:drawing>
          <wp:inline>
            <wp:extent cx="152421" cy="152421"/>
            <wp:docPr id="756325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097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repasse de recursos financeiros de despesas</w:t>
      </w:r>
      <w:bookmarkEnd w:id="1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O MJSP (SENAD)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realiza 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repasse de recursos financeiros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para pagamento de despesas de custeio dos imóveis perdidos em favor da União.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2. Encaminha ao MGI (SRA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), pelo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SIAFI,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o repasse de recursos financeiros para pagamento das contas de despesas de custeio realizado.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bizHeading4"/>
      </w:pPr>
      <w:bookmarkStart w:id="18" w:name="_Toc256000013"/>
      <w:r>
        <w:drawing>
          <wp:inline>
            <wp:extent cx="152421" cy="152421"/>
            <wp:docPr id="16147822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877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Efetuar pagamento de despesas</w:t>
      </w:r>
      <w:bookmarkEnd w:id="1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O MGI (SRA)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efetua 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pagamento das contas de despesas de custeio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SIAFI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, de acordo com a natureza de despesa das contas a pagar dos imóveis perdidos em favor da União.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2. Encaminha à SPU/UF o processo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SEI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para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monitoramento e acompanhamento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das despesas pagas e do processo.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 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   </w:t>
      </w:r>
    </w:p>
    <w:p>
      <w:pPr>
        <w:pStyle w:val="ModelerNormal"/>
        <w:spacing w:before="300" w:after="300" w:afterAutospacing="1"/>
        <w:ind w:left="0" w:right="0" w:firstLine="560"/>
        <w:jc w:val="both"/>
      </w:pPr>
      <w:r>
        <w:br/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9" w:name="_Toc256000014"/>
      <w:r>
        <w:drawing>
          <wp:inline>
            <wp:extent cx="152421" cy="152421"/>
            <wp:docPr id="15815956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49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Decisão judicial definitiva de perdimento de imóvel</w:t>
      </w:r>
      <w:bookmarkEnd w:id="1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0" w:name="_Toc256000015"/>
      <w:r>
        <w:drawing>
          <wp:inline>
            <wp:extent cx="152421" cy="152421"/>
            <wp:docPr id="2741318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04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levantamento de imóveis perdidos e solicitar gestão da manutenção e conservação</w:t>
      </w:r>
      <w:bookmarkEnd w:id="20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Procedimentos: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1. O MJSP (SENAD)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realiza 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 xml:space="preserve">levantamento de imóveis perdidos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em favor da União, que tenha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Decisão Judicial Definitiva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 derivada 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prática de crimes.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2. Anexa nos autos do processo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SEI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os seguintes documentos complementares: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hd w:val="clear" w:color="auto" w:fill="FFFFFF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</w:rPr>
        <w:t>     2.1 cópia da decisão judicial que tenha decretado o perdimento do bem imóvel em favor da União, podendo ser substituída por mandado de registro, certidão de objeto e pé, carta de sentença ou outro documento judicial equivalente;</w:t>
      </w:r>
    </w:p>
    <w:p>
      <w:pPr>
        <w:pStyle w:val="ModelerNormal"/>
        <w:shd w:val="clear" w:color="auto" w:fill="FFFFFF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hd w:val="clear" w:color="auto" w:fill="FFFFFF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</w:rPr>
        <w:t>     2.2 certidão de trânsito em julgado da decisão que decretou o perdimento; e</w:t>
      </w:r>
    </w:p>
    <w:p>
      <w:pPr>
        <w:pStyle w:val="ModelerNormal"/>
        <w:shd w:val="clear" w:color="auto" w:fill="FFFFFF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hd w:val="clear" w:color="auto" w:fill="FFFFFF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</w:rPr>
        <w:t>     2.3 certidão de matrícula ou transcrição emitida pelo cartório de registro de imóveis, contendo informações da matrícula e memorial descritivo.</w:t>
      </w:r>
    </w:p>
    <w:p>
      <w:pPr>
        <w:pStyle w:val="ModelerNormal"/>
        <w:shd w:val="clear" w:color="auto" w:fill="FFFFFF"/>
        <w:spacing w:before="0" w:after="0" w:afterAutospacing="1"/>
        <w:ind w:left="72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3.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Elabora o seguinte documento no processo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: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3.1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Ofício MJSP (SENAD) - Gestão da manutenção e conservação de imóveis perdidos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3. Encaminha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e-mail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à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, pelo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SEI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,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solicitando a gestão da manutenção e conservação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de imóveis perdidos, enquanto vago para uso ou não alienado, acompanhado da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relação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de imóveis levantada, dos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>documentos complementares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 xml:space="preserve"> e do </w:t>
      </w:r>
      <w:r>
        <w:rPr>
          <w:rFonts w:ascii="Segoe UI" w:eastAsia="Segoe UI" w:hAnsi="Segoe UI" w:cs="Segoe UI"/>
          <w:b/>
          <w:bCs/>
          <w:i w:val="0"/>
          <w:iCs w:val="0"/>
          <w:color w:val="162937"/>
          <w:sz w:val="20"/>
          <w:szCs w:val="20"/>
          <w:shd w:val="clear" w:color="auto" w:fill="FFFFFF"/>
        </w:rPr>
        <w:t xml:space="preserve">Ofício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162937"/>
          <w:sz w:val="20"/>
          <w:szCs w:val="20"/>
          <w:shd w:val="clear" w:color="auto" w:fill="FFFFFF"/>
        </w:rPr>
        <w:t>em anexo.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  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 xml:space="preserve">   </w:t>
      </w:r>
    </w:p>
    <w:p>
      <w:pPr>
        <w:pStyle w:val="ModelerNormal"/>
        <w:shd w:val="clear" w:color="auto" w:fill="FFFFFF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hd w:val="clear" w:color="auto" w:fill="FFFFFF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0"/>
          <w:szCs w:val="20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1" w:name="_Toc256000016"/>
      <w:r>
        <w:drawing>
          <wp:inline>
            <wp:extent cx="152421" cy="152421"/>
            <wp:docPr id="1882478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058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SPU / UC (CGOFI)</w:t>
      </w:r>
      <w:bookmarkEnd w:id="2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Quem pode utilizar este serviço: Cidadão, Empresas, Entes Públicos.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Caso o solicitante seja PJ: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ymbol" w:eastAsia="Symbol" w:hAnsi="Symbol" w:cs="Symbol"/>
          <w:b w:val="0"/>
          <w:bCs w:val="0"/>
          <w:i w:val="0"/>
          <w:iCs w:val="0"/>
          <w:color w:val="000000"/>
          <w:sz w:val="16"/>
          <w:szCs w:val="16"/>
        </w:rPr>
        <w:t xml:space="preserve">·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 estabelecimento deve possuir o cadastro de Pessoa Jurídica no Acesso </w:t>
      </w:r>
      <w:hyperlink r:id="rId18" w:tgtFrame="_blank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Gov.BR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 Caso ainda não possua, acesse essa </w:t>
      </w:r>
      <w:hyperlink r:id="rId19" w:tgtFrame="_self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FAQ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para saber como fazer;</w:t>
      </w:r>
    </w:p>
    <w:p>
      <w:pPr>
        <w:pStyle w:val="ModelerNormal"/>
        <w:shd w:val="clear" w:color="auto" w:fill="FFFFFF"/>
        <w:spacing w:before="0" w:after="240" w:afterAutospacing="1"/>
        <w:ind w:left="0" w:right="0" w:firstLine="0"/>
        <w:jc w:val="left"/>
      </w:pPr>
      <w:r>
        <w:rPr>
          <w:rFonts w:ascii="Symbol" w:eastAsia="Symbol" w:hAnsi="Symbol" w:cs="Symbol"/>
          <w:b w:val="0"/>
          <w:bCs w:val="0"/>
          <w:i w:val="0"/>
          <w:iCs w:val="0"/>
          <w:color w:val="000000"/>
          <w:sz w:val="16"/>
          <w:szCs w:val="16"/>
        </w:rPr>
        <w:t xml:space="preserve">·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O estabelecimento deve adicionar colaboradores na Conta de Pessoa Jurídica para realizar as solicitações. Acesse essa </w:t>
      </w:r>
      <w:hyperlink r:id="rId20" w:tgtFrame="_self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00"/>
            <w:sz w:val="16"/>
            <w:szCs w:val="16"/>
            <w:u w:val="single" w:color="000000"/>
          </w:rPr>
          <w:t>FAQ</w:t>
        </w:r>
      </w:hyperlink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para saber como fazer.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Std">
    <w:panose1 w:val="020B0504030504040204"/>
    <w:charset w:val="00"/>
    <w:family w:val="swiss"/>
    <w:pitch w:val="variable"/>
    <w:sig w:usb0="800000AF" w:usb1="5000205B" w:usb2="00000000" w:usb3="00000000" w:csb0="00000001" w:csb1="00000000"/>
  </w:font>
  <w:font w:name="Aller">
    <w:altName w:val="Corbel"/>
    <w:panose1 w:val="02000503030000020004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panose1 w:val="02000503000000020004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P="00F05C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03BE" w:rsidP="00B603B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6E" w:rsidRPr="003B5308" w:rsidP="003B5308">
    <w:pPr>
      <w:pStyle w:val="Footer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03.2pt;height:26.5pt;margin-top:-19.35pt;margin-left:-46.95pt;position:absolute;z-index:-251658240" stroked="f">
          <v:textbox>
            <w:txbxContent>
              <w:p w:rsidR="003B5308" w:rsidRPr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i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08">
    <w:pPr>
      <w:pStyle w:val="Footer"/>
    </w:pPr>
    <w:r>
      <w:rPr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03.2pt;height:26.5pt;margin-top:-16.45pt;margin-left:-49.65pt;position:absolute;z-index:251659264" stroked="f">
          <v:textbox>
            <w:txbxContent>
              <w:p w:rsidR="003B5308" w:rsidRPr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6A5345">
    <w:pPr>
      <w:pStyle w:val="Confidential"/>
      <w:jc w:val="center"/>
    </w:pPr>
    <w:r w:rsidR="00A50009">
      <w:t>www.bizagi.com</w:t>
    </w:r>
    <w:r w:rsidR="00463079">
      <w:t xml:space="preserve">                                          </w:t>
    </w:r>
    <w:r w:rsidR="00A50009">
      <w:t xml:space="preserve">  </w:t>
    </w:r>
    <w:r w:rsidR="00463079">
      <w:t xml:space="preserve">     </w:t>
    </w:r>
    <w:r w:rsidRPr="00463079" w:rsidR="00463079">
      <w:rPr>
        <w:sz w:val="18"/>
        <w:szCs w:val="18"/>
      </w:rPr>
      <w:t>Confidential</w:t>
    </w:r>
    <w:r w:rsidR="00463079">
      <w:t xml:space="preserve">                        </w:t>
    </w:r>
    <w:r w:rsidR="00A50009">
      <w:t xml:space="preserve">                       </w:t>
    </w:r>
    <w:r w:rsidR="00A33804">
      <w:t xml:space="preserve">               </w:t>
    </w:r>
    <w:r w:rsidRPr="00A50009" w:rsidR="00463079">
      <w:rPr>
        <w:i w:val="0"/>
        <w:iCs/>
        <w:sz w:val="18"/>
        <w:szCs w:val="18"/>
      </w:rPr>
      <w:t xml:space="preserve">| </w:t>
    </w:r>
    <w:r w:rsidRPr="00A50009" w:rsidR="00463079">
      <w:rPr>
        <w:i w:val="0"/>
        <w:iCs/>
        <w:sz w:val="18"/>
        <w:szCs w:val="18"/>
      </w:rPr>
      <w:fldChar w:fldCharType="begin"/>
    </w:r>
    <w:r w:rsidRPr="00A50009" w:rsidR="00463079">
      <w:rPr>
        <w:i w:val="0"/>
        <w:iCs/>
        <w:sz w:val="18"/>
        <w:szCs w:val="18"/>
      </w:rPr>
      <w:instrText xml:space="preserve"> PAGE   \* MERGEFORMAT </w:instrText>
    </w:r>
    <w:r w:rsidRPr="00A50009" w:rsidR="0046307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14</w:t>
    </w:r>
    <w:r w:rsidRPr="00A50009" w:rsidR="00463079">
      <w:rPr>
        <w:i w:val="0"/>
        <w:iCs/>
        <w:noProof/>
        <w:sz w:val="18"/>
        <w:szCs w:val="1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 w:rsidP="00275F9A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68.53pt;height:46.21pt" stroked="f">
          <v:imagedata r:id="rId1" o:title=""/>
        </v:shape>
      </w:pict>
    </w:r>
    <w:r>
      <w:rPr>
        <w:noProof/>
      </w:rPr>
      <w:pict>
        <v:shape id="Picture 18" o:spid="_x0000_s2050" type="#_x0000_t75" style="width:602.95pt;height:432.85pt;margin-top:-35.25pt;margin-left:-84.45pt;mso-height-relative:margin;mso-width-relative:margin;position:absolute;visibility:visible;z-index:-251655168" filled="f" stroked="f">
          <v:imagedata r:id="rId2" o:title=""/>
          <o:lock v:ext="edit" aspectratio="t"/>
        </v:shape>
      </w:pict>
    </w:r>
  </w:p>
  <w:p w:rsidR="00275F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3" type="#_x0000_t75" style="width:96.61pt;height:26.43pt" stroked="f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EE" w:rsidP="001B21EE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4" type="#_x0000_t75" style="width:125.48pt;height:45.72pt" stroked="f">
          <v:imagedata r:id="rId1" o:title="bizagiLogo"/>
        </v:shape>
      </w:pict>
    </w:r>
  </w:p>
  <w:p w:rsidR="00275F9A">
    <w:pPr>
      <w:pStyle w:val="Header"/>
    </w:pPr>
    <w:r>
      <w:rPr>
        <w:noProof/>
      </w:rPr>
      <w:pict>
        <v:shape id="_x0000_s2055" type="#_x0000_t75" style="width:376.3pt;height:534.55pt;margin-top:151.95pt;margin-left:-85.4pt;mso-position-horizontal-relative:margin;mso-position-vertical-relative:margin;position:absolute;z-index:-251656192" stroked="f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0A4"/>
    <w:multiLevelType w:val="multilevel"/>
    <w:tmpl w:val="D42ACEBE"/>
    <w:numStyleLink w:val="Headings"/>
  </w:abstractNum>
  <w:abstractNum w:abstractNumId="1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>
    <w:nsid w:val="298877DF"/>
    <w:multiLevelType w:val="hybridMultilevel"/>
    <w:tmpl w:val="2FF64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94FAE"/>
    <w:multiLevelType w:val="multilevel"/>
    <w:tmpl w:val="D42ACEBE"/>
    <w:numStyleLink w:val="Headings"/>
  </w:abstractNum>
  <w:abstractNum w:abstractNumId="4">
    <w:nsid w:val="44B055A6"/>
    <w:multiLevelType w:val="multilevel"/>
    <w:tmpl w:val="D42ACEBE"/>
    <w:numStyleLink w:val="Headings"/>
  </w:abstractNum>
  <w:abstractNum w:abstractNumId="5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>
    <w:nsid w:val="4BE02392"/>
    <w:multiLevelType w:val="multilevel"/>
    <w:tmpl w:val="9B52074E"/>
    <w:numStyleLink w:val="Headings"/>
  </w:abstractNum>
  <w:abstractNum w:abstractNumId="7">
    <w:nsid w:val="681C5AA5"/>
    <w:multiLevelType w:val="multilevel"/>
    <w:tmpl w:val="35E627E4"/>
    <w:numStyleLink w:val="Headings"/>
  </w:abstractNum>
  <w:abstractNum w:abstractNumId="8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1314F"/>
    <w:multiLevelType w:val="hybridMultilevel"/>
    <w:tmpl w:val="0F64E4CC"/>
    <w:lvl w:ilvl="0">
      <w:start w:val="1"/>
      <w:numFmt w:val="bullet"/>
      <w:pStyle w:val="ListBullet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39" w:unhideWhenUsed="0"/>
    <w:lsdException w:name="toc 5" w:semiHidden="0" w:uiPriority="0" w:unhideWhenUsed="0"/>
    <w:lsdException w:name="toc 6" w:semiHidden="0" w:uiPriority="39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/>
    <w:lsdException w:name="Table Grid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 w:bidi="ar-SA"/>
    </w:rPr>
  </w:style>
  <w:style w:type="paragraph" w:styleId="Heading1">
    <w:name w:val="heading 1"/>
    <w:next w:val="Normal"/>
    <w:link w:val="Ttulo1C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Heading2">
    <w:name w:val="heading 2"/>
    <w:basedOn w:val="Normal"/>
    <w:next w:val="Normal"/>
    <w:link w:val="Ttulo2C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Heading3">
    <w:name w:val="heading 3"/>
    <w:basedOn w:val="Normal"/>
    <w:next w:val="Normal"/>
    <w:link w:val="Ttulo3C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Heading4">
    <w:name w:val="heading 4"/>
    <w:next w:val="Normal"/>
    <w:link w:val="Ttulo4C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 w:bidi="ar-SA"/>
    </w:rPr>
  </w:style>
  <w:style w:type="paragraph" w:styleId="Heading5">
    <w:name w:val="heading 5"/>
    <w:next w:val="Normal"/>
    <w:link w:val="Ttulo5C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styleId="Heading6">
    <w:name w:val="heading 6"/>
    <w:next w:val="Normal"/>
    <w:link w:val="Ttulo6C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styleId="Heading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  <w:rsid w:val="00E41A0B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1A0B"/>
  </w:style>
  <w:style w:type="character" w:customStyle="1" w:styleId="Ttulo1Car">
    <w:name w:val="Título 1 Car"/>
    <w:link w:val="Heading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TOC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TOC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TOC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Header">
    <w:name w:val="header"/>
    <w:basedOn w:val="Normal"/>
    <w:link w:val="EncabezadoC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PiedepginaC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BodyText">
    <w:name w:val="Body Text"/>
    <w:basedOn w:val="Normal"/>
    <w:link w:val="TextoindependienteC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leGrid">
    <w:name w:val="Table Grid"/>
    <w:basedOn w:val="Table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  <w:pPr>
      <w:numPr>
        <w:ilvl w:val="0"/>
        <w:numId w:val="0"/>
      </w:numPr>
    </w:pPr>
  </w:style>
  <w:style w:type="numbering" w:customStyle="1" w:styleId="Lista1">
    <w:name w:val="Lista1"/>
    <w:basedOn w:val="NoList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TOC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Heading1"/>
    <w:next w:val="ModelerNormal"/>
    <w:qFormat/>
    <w:rsid w:val="004C30E2"/>
    <w:pPr>
      <w:keepNext/>
      <w:keepLines/>
      <w:numPr>
        <w:ilvl w:val="0"/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eastAsia="Times New Roman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Heading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Heading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Heading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Heading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5F6E7C"/>
      <w:sz w:val="26"/>
      <w:szCs w:val="20"/>
      <w:lang w:val="en-AU"/>
    </w:rPr>
  </w:style>
  <w:style w:type="paragraph" w:styleId="BalloonText">
    <w:name w:val="Balloon Text"/>
    <w:basedOn w:val="Normal"/>
    <w:link w:val="TextodegloboC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BalloonText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ilvl w:val="0"/>
        <w:numId w:val="2"/>
      </w:numPr>
    </w:pPr>
  </w:style>
  <w:style w:type="character" w:customStyle="1" w:styleId="EncabezadoCar">
    <w:name w:val="Encabezado Car"/>
    <w:link w:val="Header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">
    <w:name w:val="Título 2 Car"/>
    <w:link w:val="Heading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TextoindependienteCar">
    <w:name w:val="Texto independiente Car"/>
    <w:link w:val="BodyText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character" w:customStyle="1" w:styleId="Ttulo3Car">
    <w:name w:val="Título 3 Car"/>
    <w:link w:val="Heading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">
    <w:name w:val="Título 4 Car"/>
    <w:link w:val="Heading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">
    <w:name w:val="Título 5 Car"/>
    <w:link w:val="Heading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Emphasis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PiedepginaCar">
    <w:name w:val="Pie de página Car"/>
    <w:link w:val="Footer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">
    <w:name w:val="Título 6 Car"/>
    <w:link w:val="Heading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0">
    <w:name w:val="heading4"/>
    <w:basedOn w:val="Heading3"/>
    <w:rsid w:val="00E41A0B"/>
    <w:pPr>
      <w:numPr>
        <w:ilvl w:val="0"/>
        <w:numId w:val="0"/>
      </w:num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Bullet">
    <w:name w:val="List Bullet"/>
    <w:basedOn w:val="Normal"/>
    <w:rsid w:val="00E41A0B"/>
    <w:pPr>
      <w:numPr>
        <w:ilvl w:val="0"/>
        <w:numId w:val="3"/>
      </w:numPr>
      <w:spacing w:after="240" w:line="260" w:lineRule="exact"/>
    </w:pPr>
    <w:rPr>
      <w:rFonts w:eastAsia="Times New Roman"/>
      <w:szCs w:val="20"/>
    </w:rPr>
  </w:style>
  <w:style w:type="paragraph" w:styleId="NoSpacing">
    <w:name w:val="No Spacing"/>
    <w:link w:val="SinespaciadoCar"/>
    <w:uiPriority w:val="1"/>
    <w:qFormat/>
    <w:rsid w:val="00E41A0B"/>
    <w:rPr>
      <w:rFonts w:ascii="Calibri" w:hAnsi="Calibri"/>
      <w:sz w:val="22"/>
      <w:szCs w:val="22"/>
      <w:lang w:val="en-US" w:eastAsia="en-US" w:bidi="ar-SA"/>
    </w:rPr>
  </w:style>
  <w:style w:type="character" w:customStyle="1" w:styleId="SinespaciadoCar">
    <w:name w:val="Sin espaciado Car"/>
    <w:link w:val="NoSpacing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0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 w:bidi="ar-SA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Heading1"/>
    <w:rsid w:val="00E41A0B"/>
    <w:pPr>
      <w:numPr>
        <w:ilvl w:val="0"/>
        <w:numId w:val="0"/>
      </w:numPr>
    </w:pPr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 w:bidi="ar-SA"/>
    </w:rPr>
  </w:style>
  <w:style w:type="paragraph" w:styleId="TOAHeading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TOC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TOC6">
    <w:name w:val="toc 6"/>
    <w:basedOn w:val="TOC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Footer"/>
    <w:qFormat/>
    <w:rsid w:val="00E41A0B"/>
    <w:pPr>
      <w:tabs>
        <w:tab w:val="clear" w:pos="4419"/>
        <w:tab w:val="center" w:pos="4680"/>
        <w:tab w:val="clear" w:pos="8838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itle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itle"/>
    <w:next w:val="Subtitle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itle">
    <w:name w:val="Title"/>
    <w:basedOn w:val="Normal"/>
    <w:next w:val="Normal"/>
    <w:link w:val="TtuloC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">
    <w:name w:val="Título Car"/>
    <w:link w:val="Title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itle">
    <w:name w:val="Subtitle"/>
    <w:basedOn w:val="Normal"/>
    <w:next w:val="Normal"/>
    <w:link w:val="SubttuloC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">
    <w:name w:val="Subtítulo Car"/>
    <w:link w:val="Subtitle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header" Target="header2.xml" /><Relationship Id="rId14" Type="http://schemas.openxmlformats.org/officeDocument/2006/relationships/header" Target="header3.xml" /><Relationship Id="rId15" Type="http://schemas.openxmlformats.org/officeDocument/2006/relationships/footer" Target="footer4.xml" /><Relationship Id="rId16" Type="http://schemas.openxmlformats.org/officeDocument/2006/relationships/header" Target="header4.xml" /><Relationship Id="rId17" Type="http://schemas.openxmlformats.org/officeDocument/2006/relationships/image" Target="media/image8.emf" /><Relationship Id="rId18" Type="http://schemas.openxmlformats.org/officeDocument/2006/relationships/hyperlink" Target="http://gov.br/" TargetMode="External" /><Relationship Id="rId19" Type="http://schemas.openxmlformats.org/officeDocument/2006/relationships/hyperlink" Target="https://e.gov.br/cccnpj2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e.gov.br/cccnpj" TargetMode="Externa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2014-03-13T20:06:00Z</dcterms:created>
  <dcterms:modified xsi:type="dcterms:W3CDTF">2021-06-30T16:18:00Z</dcterms:modified>
</cp:coreProperties>
</file>