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3 -->
  <w:body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izTitle"/>
        <w:jc w:val="right"/>
      </w:pPr>
      <w:bookmarkStart w:id="0" w:name="_Toc256000000"/>
      <w:r w:rsidRPr="00275F9A">
        <w:t>Tratamento de Requerimento no Portal de Serviços da SPU_V1-0</w:t>
      </w:r>
      <w:bookmarkEnd w:id="0"/>
    </w:p>
    <w:p w:rsidR="00B603BE" w:rsidRPr="00275F9A" w:rsidP="00032CAE">
      <w:pPr>
        <w:pStyle w:val="bizSubtitle"/>
        <w:jc w:val="right"/>
      </w:pPr>
      <w:bookmarkStart w:id="1" w:name="_Toc256000001"/>
      <w:r w:rsidRPr="00275F9A">
        <w:t>Bizagi Modeler</w:t>
      </w:r>
      <w:bookmarkEnd w:id="1"/>
    </w:p>
    <w:p w:rsidR="00B603BE" w:rsidRPr="00275F9A">
      <w:pPr>
        <w:sectPr w:rsidSect="00503EE8">
          <w:headerReference w:type="default" r:id="rId6"/>
          <w:footerReference w:type="even" r:id="rId7"/>
          <w:footerReference w:type="default" r:id="rId8"/>
          <w:footerReference w:type="first" r:id="rId9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:rsidR="00AE3ACF" w:rsidRPr="008D2D31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>
      <w:pPr>
        <w:pStyle w:val="TOC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 w:rsidR="00B603BE">
          <w:rPr>
            <w:rStyle w:val="Hyperlink"/>
          </w:rPr>
          <w:t>Tratamento de Requerimento no Portal de Serviços da SPU_V1-0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rPr>
          <w:rFonts w:ascii="Calibri" w:hAnsi="Calibri"/>
          <w:noProof/>
          <w:sz w:val="22"/>
        </w:rPr>
      </w:pPr>
      <w:hyperlink w:anchor="_Toc256000001" w:history="1">
        <w:r w:rsidRPr="00275F9A" w:rsidR="00B603BE">
          <w:rPr>
            <w:rStyle w:val="Hyperlink"/>
          </w:rPr>
          <w:t>Bizagi Modeler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Tratamento de Requerimento no Portal de Serviços da SPU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Tratamento de Requerimento no Portal de Serviços da SPU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3"/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25563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Solicitar Documentos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46862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Atender Solicitação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191906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Cadastrar Requerimento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963375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Acessar Requerimento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644224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Informar Pendência(s) ao Requerente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3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939912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Reenviar Requerimento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3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982220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Triagem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4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019489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Análise Técnica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4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544471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Informar Decisão do Requerimento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29</w:t>
        </w:r>
        <w:r>
          <w:fldChar w:fldCharType="end"/>
        </w:r>
      </w:hyperlink>
    </w:p>
    <w:p w:rsidR="00AE3ACF" w:rsidRPr="008D2D31" w:rsidP="00854218">
      <w:pPr>
        <w:jc w:val="center"/>
        <w:sectPr w:rsidSect="00503EE8">
          <w:headerReference w:type="even" r:id="rId11"/>
          <w:headerReference w:type="default" r:id="rId12"/>
          <w:footerReference w:type="default" r:id="rId13"/>
          <w:headerReference w:type="first" r:id="rId14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>
      <w:pPr>
        <w:pStyle w:val="bizHeading1"/>
      </w:pPr>
      <w:bookmarkStart w:id="2" w:name="Id_75a1b93109bc49a2a87baaee9cac8247"/>
      <w:bookmarkStart w:id="3" w:name="_Toc256000002"/>
      <w:r>
        <w:t>Tratamento de Requerimento no Portal de Serviços da SPU</w:t>
      </w:r>
      <w:bookmarkEnd w:id="3"/>
    </w:p>
    <w:p>
      <w:pPr>
        <w:jc w:val="center"/>
      </w:pPr>
      <w:bookmarkEnd w:id="2"/>
      <w:r>
        <w:drawing>
          <wp:inline>
            <wp:extent cx="7898130" cy="5347248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025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534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>Descrição</w:t>
      </w:r>
    </w:p>
    <w:p>
      <w:pPr>
        <w:pStyle w:val="ModelerNormal"/>
        <w:spacing w:afterAutospacing="1"/>
      </w:pPr>
      <w:r>
        <w:t>Tratamento de Requerimento no Portal de Serviços da SPU por meio do SPUnet</w:t>
      </w:r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1.0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CEPRO/CGGES/DEGOV/SPU/MGI</w:t>
      </w:r>
    </w:p>
    <w:p>
      <w:pPr>
        <w:pStyle w:val="bizHeading2"/>
      </w:pPr>
      <w:bookmarkStart w:id="4" w:name="Id_197d81eaaf214a4a9aab1976532c0dde"/>
      <w:bookmarkStart w:id="5" w:name="_Toc256000003"/>
      <w:r>
        <w:t>Tratamento de Requerimento no Portal de Serviços da SPU</w:t>
      </w:r>
      <w:bookmarkEnd w:id="5"/>
    </w:p>
    <w:p>
      <w:pPr>
        <w:pStyle w:val="bizHeading3"/>
      </w:pPr>
      <w:bookmarkEnd w:id="4"/>
      <w:bookmarkStart w:id="6" w:name="_Toc256000004"/>
      <w:r>
        <w:t>Elementos do processo</w:t>
      </w:r>
      <w:bookmarkEnd w:id="6"/>
    </w:p>
    <w:p>
      <w:pPr>
        <w:pStyle w:val="bizHeading4"/>
      </w:pPr>
      <w:bookmarkStart w:id="7" w:name="_Toc256000005"/>
      <w:r>
        <w:drawing>
          <wp:inline>
            <wp:extent cx="152421" cy="152421"/>
            <wp:docPr id="43260548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61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Solicitar Documentos</w:t>
      </w:r>
      <w:bookmarkEnd w:id="7"/>
    </w:p>
    <w:p/>
    <w:p>
      <w:pPr>
        <w:pStyle w:val="BoldModelerNormal"/>
      </w:pPr>
      <w:r>
        <w:t>Descrição</w:t>
      </w:r>
    </w:p>
    <w:p>
      <w:pPr>
        <w:pStyle w:val="ModelerNormal"/>
        <w:spacing w:afterAutospacing="1"/>
      </w:pPr>
      <w:bookmarkStart w:id="8" w:name="_dx_frag_StartFragment"/>
      <w:bookmarkEnd w:id="8"/>
      <w:r>
        <w:t>Procedimentos: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 A equipe técnica da </w:t>
      </w:r>
      <w:r>
        <w:t xml:space="preserve">Superintendência/UF, </w:t>
      </w:r>
      <w:r>
        <w:t>após iniciar a análise técnica, confere os documentos anexados no requerimento cadastrado no Portal de Serviços da SPU e disponibilizado no SPUnet.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2. </w:t>
      </w:r>
      <w:r>
        <w:t>Caso a documentação ou informações não sejam suficientes e necessite de novos documentos, indique o documento que se encontra não conforme, anote claramente a documentação ou informação pendente e envie ao requerente para providências.</w:t>
      </w:r>
    </w:p>
    <w:p>
      <w:pPr>
        <w:pStyle w:val="ModelerNormal"/>
        <w:spacing w:afterAutospacing="1"/>
      </w:pPr>
      <w:r>
        <w:t> </w:t>
      </w:r>
    </w:p>
    <w:p>
      <w:pPr>
        <w:pStyle w:val="bizHeading4"/>
      </w:pPr>
      <w:bookmarkStart w:id="9" w:name="_Toc256000006"/>
      <w:r>
        <w:drawing>
          <wp:inline>
            <wp:extent cx="152421" cy="152421"/>
            <wp:docPr id="4435481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14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Atender Solicitação</w:t>
      </w:r>
      <w:bookmarkEnd w:id="9"/>
    </w:p>
    <w:p/>
    <w:p>
      <w:pPr>
        <w:pStyle w:val="BoldModelerNormal"/>
      </w:pPr>
      <w:r>
        <w:t>Descrição</w:t>
      </w:r>
    </w:p>
    <w:p>
      <w:pPr>
        <w:pStyle w:val="ModelerNormal"/>
        <w:spacing w:afterAutospacing="1"/>
      </w:pPr>
      <w:r>
        <w:t>Procedimentos: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 O cidadão/usuário requerente </w:t>
      </w:r>
      <w:r>
        <w:t xml:space="preserve">Providencia os novos Documentos </w:t>
      </w:r>
      <w:r>
        <w:t>com as informações faltantes da seguinte forma: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1.1 P</w:t>
      </w:r>
      <w:r>
        <w:t>rovidenciar a regularização dos novos documentos e informações faltantes e, em seguida, reenviar o pedido para reavaliação da análise técnica.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</w:t>
      </w:r>
    </w:p>
    <w:p>
      <w:pPr>
        <w:pStyle w:val="bizHeading4"/>
      </w:pPr>
      <w:bookmarkStart w:id="10" w:name="_Toc256000007"/>
      <w:r>
        <w:drawing>
          <wp:inline>
            <wp:extent cx="152421" cy="152421"/>
            <wp:docPr id="207562899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324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Cadastrar Requerimento</w:t>
      </w:r>
      <w:bookmarkEnd w:id="10"/>
    </w:p>
    <w:p/>
    <w:p>
      <w:pPr>
        <w:pStyle w:val="BoldModelerNormal"/>
      </w:pPr>
      <w:r>
        <w:t>Descrição</w:t>
      </w:r>
    </w:p>
    <w:p>
      <w:pPr>
        <w:pStyle w:val="ModelerNormal"/>
        <w:spacing w:afterAutospacing="1"/>
      </w:pPr>
      <w:r>
        <w:t>Procedimentos: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Obs.: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- A solicitação de documentos pode ocorrer por demanda judicial ou não. </w:t>
      </w:r>
    </w:p>
    <w:p>
      <w:pPr>
        <w:pStyle w:val="ModelerNormal"/>
        <w:spacing w:afterAutospacing="1"/>
      </w:pPr>
      <w:r>
        <w:t>- O que muda no processo é o nível de prioridade no atendimento da demanda.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 1. O cidadão/usuário requerente </w:t>
      </w:r>
      <w:r>
        <w:t xml:space="preserve">Cadastra Requerimento </w:t>
      </w:r>
      <w:r>
        <w:t xml:space="preserve">na SPU mediante as seguintes </w:t>
      </w:r>
      <w:r>
        <w:t>ações</w:t>
      </w:r>
      <w:r>
        <w:t>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1.1 Primeiramente, deve definir: </w:t>
      </w:r>
    </w:p>
    <w:p>
      <w:pPr>
        <w:pStyle w:val="ModelerNormal"/>
        <w:spacing w:afterAutospacing="1"/>
      </w:pPr>
      <w:r>
        <w:t>          1.1.1 A forma de cadastrar (Portal de Serviços da SPU). </w:t>
      </w:r>
    </w:p>
    <w:p>
      <w:pPr>
        <w:pStyle w:val="ModelerNormal"/>
        <w:spacing w:afterAutospacing="1"/>
      </w:pPr>
      <w:r>
        <w:t>          1.1.2 O assunto a ser tratado no requerimento. 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1.2 O interessado deve acessar o</w:t>
      </w:r>
      <w:r>
        <w:t xml:space="preserve"> Portal de Serviços da SPU</w:t>
      </w:r>
      <w:r>
        <w:t xml:space="preserve"> (</w:t>
      </w:r>
      <w:hyperlink r:id="rId16" w:history="1">
        <w:r>
          <w:t>https://sistema.patrimoniodetodos.gov.br</w:t>
        </w:r>
      </w:hyperlink>
      <w:r>
        <w:t xml:space="preserve">) 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1.3 Fazer o login em sua conta </w:t>
      </w:r>
      <w:r>
        <w:t>GOV.BR</w:t>
      </w:r>
      <w:r>
        <w:t xml:space="preserve">, por meio do botão </w:t>
      </w:r>
      <w:r>
        <w:t>“Entrar com gov.br”</w:t>
      </w:r>
      <w:r>
        <w:t xml:space="preserve"> localizado no canto superior direito.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486400" cy="2876550"/>
            <wp:docPr id="1000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84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     </w:t>
      </w:r>
      <w:r>
        <w:t>Comentário</w:t>
      </w:r>
      <w:r>
        <w:t>:</w:t>
      </w:r>
      <w:r>
        <w:t xml:space="preserve"> Caso o interessado não possua conta no GOV.BR, consultar este tutorial (Link para o tutorial) sobre como obtê-la.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     </w:t>
      </w:r>
      <w:r>
        <w:t>Lembrete: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       (1) O cidadão/usuário, conforme Lei nº 13.460/17, </w:t>
      </w:r>
      <w:r>
        <w:t>tem direito ao atendimento presencial</w:t>
      </w:r>
      <w:r>
        <w:t>, quando necessário, em instalações salubres, seguras, sinalizadas, acessíveis e adequadas ao serviço e ao atendimento.  </w:t>
      </w:r>
    </w:p>
    <w:p>
      <w:pPr>
        <w:pStyle w:val="ModelerNormal"/>
        <w:spacing w:afterAutospacing="1"/>
      </w:pPr>
      <w:r>
        <w:t xml:space="preserve">            (2) Tem direito ao </w:t>
      </w:r>
      <w:r>
        <w:t>atendimento prioritário</w:t>
      </w:r>
      <w:r>
        <w:t xml:space="preserve"> as pessoas com deficiência, os idosos com idade igual ou superior a 60 anos, as gestantes, as lactantes, as pessoas com crianças de colo e os obesos.  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1.4 O interessado deve acessar a Categoria de serviços </w:t>
      </w:r>
      <w:r>
        <w:t>“Requerimentos Diversos”.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572125" cy="3105150"/>
            <wp:docPr id="1000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371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1.5 O interessado deve selecionar o tipo de requerimento que deseja fazer dentro os disponíveis.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524500" cy="3067050"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56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1.6 O interessado também pode utilizar a ferramenta de </w:t>
      </w:r>
      <w:r>
        <w:t>“Pesquisa”</w:t>
      </w:r>
      <w:r>
        <w:t xml:space="preserve"> se utilizando de palavra-chave para selecionar requerimentos relacionados ao seu interesse.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572125" cy="3181350"/>
            <wp:docPr id="1000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3335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1.7 Após selecionar o tipo de requerimento, o interessado deverá preencher todos os dados conforme solicitado no formulário, a saber:</w:t>
      </w:r>
    </w:p>
    <w:p>
      <w:pPr>
        <w:pStyle w:val="ModelerNormal"/>
        <w:spacing w:afterAutospacing="1"/>
      </w:pPr>
      <w:r>
        <w:t>1.7.1 Objetivo do Requerimento (Quando houver).</w:t>
      </w:r>
    </w:p>
    <w:p>
      <w:pPr>
        <w:pStyle w:val="ModelerNormal"/>
        <w:spacing w:afterAutospacing="1"/>
      </w:pPr>
      <w:r>
        <w:t>1.7.2 Os campos contidos na aba “DADOS DO INTERESSADO” (Quando houver).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334000" cy="2962275"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182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1.7.3 Os campos contidos na aba “DADOS DO IMÓVEL” (Quando houver):</w:t>
      </w:r>
    </w:p>
    <w:p>
      <w:pPr>
        <w:pStyle w:val="ModelerNormal"/>
        <w:spacing w:afterAutospacing="1"/>
      </w:pPr>
      <w:r>
        <w:t>1.7.3.1 O interessado deve preencher os dados do imóvel.</w:t>
      </w:r>
    </w:p>
    <w:p>
      <w:pPr>
        <w:pStyle w:val="ModelerNormal"/>
        <w:spacing w:afterAutospacing="1"/>
      </w:pPr>
      <w:r>
        <w:t>1.7.3.2 Ao selecionar o campo “Tipo de Solicitante”, o interessado deverá fazer o upload dos documentos solicitados pelo sistema e, posteriormente, clicar no botão “CONFIRMAR”.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305425" cy="3067050"/>
            <wp:docPr id="1000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711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1.7.4 Os campos contidos na aba “PRIORIDADE NO ATENDIMENTO” (Quando houver) devem ser preenchidos conforme o enquadramento do interessado.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295900" cy="2552700"/>
            <wp:docPr id="1000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2093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1.7.5 O campo “Anotações” (Quando houver e se achar necessário) e inserir, por meio de upload nos campos indicados, todos os anexos solicitados.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1.7.6 Quando forem apresentados, os campos adicionais iniciados por </w:t>
      </w:r>
      <w:r>
        <w:t>“Estou ciente”</w:t>
      </w:r>
      <w:r>
        <w:t xml:space="preserve"> devem ser selecionados e, posteriormente, a opção </w:t>
      </w:r>
      <w:r>
        <w:t>“Não sou um robô”</w:t>
      </w:r>
      <w:r>
        <w:t xml:space="preserve"> deve ser marcada. Após esses procedimentos deve-se clicar no botão </w:t>
      </w:r>
      <w:r>
        <w:t>“ENVIAR”.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267325" cy="2171700"/>
            <wp:docPr id="1000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73327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1.8 Será gerado um protocolo de atendimento com uma numeração composta pela Unidade da Federação (UF) + 5 (cinco) dígitos e enviado para o e-mail cadastrado no requerimento.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1.9 Para acompanhar o andamento do requerimento acesse o submenu </w:t>
      </w:r>
      <w:r>
        <w:t>“Acompanhe seu pedido » Meus Requerimentos”</w:t>
      </w:r>
      <w:r>
        <w:t xml:space="preserve"> na página principal do Portal de Serviços da SPU (lembre-se que essa opção só estará disponível após realizar o login em sua conta GOV.BR).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581650" cy="3114675"/>
            <wp:docPr id="1000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127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1.10 Acompanhe seu processo por essa opção e pelo monitoramento de sua conta de e-mail cadastrada no requerimento (fique atento à sua caixa de SPAM para verificar se os e-mails enviados pelo sistema da SPU não estão sendo direcionados para ela).</w:t>
      </w:r>
    </w:p>
    <w:p>
      <w:pPr>
        <w:pStyle w:val="ModelerNormal"/>
        <w:spacing w:afterAutospacing="1"/>
      </w:pPr>
      <w:r>
        <w:t> </w:t>
      </w:r>
    </w:p>
    <w:p>
      <w:pPr>
        <w:pStyle w:val="bizHeading4"/>
      </w:pPr>
      <w:bookmarkStart w:id="11" w:name="_Toc256000008"/>
      <w:r>
        <w:drawing>
          <wp:inline>
            <wp:extent cx="152421" cy="152421"/>
            <wp:docPr id="11316313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832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Acessar Requerimento</w:t>
      </w:r>
      <w:bookmarkEnd w:id="11"/>
    </w:p>
    <w:p/>
    <w:p>
      <w:pPr>
        <w:pStyle w:val="BoldModelerNormal"/>
      </w:pPr>
      <w:r>
        <w:t>Descrição</w:t>
      </w:r>
    </w:p>
    <w:p>
      <w:pPr>
        <w:pStyle w:val="ModelerNormal"/>
        <w:spacing w:afterAutospacing="1"/>
      </w:pPr>
      <w:r>
        <w:t>P</w:t>
      </w:r>
      <w:r>
        <w:t>rocedimentos:</w:t>
      </w:r>
      <w:r>
        <w:t> 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Obs.:</w:t>
      </w:r>
      <w:r>
        <w:t xml:space="preserve"> É o primeiro acesso do servidor da SPU/UF no Portal de Serviços da SPU? </w:t>
      </w:r>
      <w:hyperlink r:id="rId26" w:history="1">
        <w:r>
          <w:t>Clique aqui</w:t>
        </w:r>
      </w:hyperlink>
      <w:r>
        <w:t xml:space="preserve"> 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 A equipe técnica da </w:t>
      </w:r>
      <w:r>
        <w:t>Superintendência/UF</w:t>
      </w:r>
      <w:r>
        <w:t xml:space="preserve"> realiza o </w:t>
      </w:r>
      <w:r>
        <w:t>Acesso e Seleção do Requerimento para triagem</w:t>
      </w:r>
      <w:r>
        <w:t xml:space="preserve"> cadastrado no Portal de Serviços da SPU e disponibilizado no SPUnet, realizando os seguintes passos: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1.1 Acessar o endereço eletrônico: </w:t>
      </w:r>
      <w:hyperlink r:id="rId27" w:history="1">
        <w:r>
          <w:t>https://spunet.economia.gov.br</w:t>
        </w:r>
      </w:hyperlink>
      <w:r>
        <w:t>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1.2 Você será redirecionado para a tela de login do GOV.BR, faça o login, inserindo CPF e senha de rede.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1.3 Após o login no GOV.BR, você será redirecionado para a página principal do sítio: </w:t>
      </w:r>
      <w:hyperlink r:id="rId27" w:history="1">
        <w:r>
          <w:t>https://spunet.economia.gov.br</w:t>
        </w:r>
      </w:hyperlink>
      <w:r>
        <w:t xml:space="preserve">. 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1.4 Clicar no menu principal (três linhas horizontais, na parte superior da página, à esquerda).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610225" cy="2962275"/>
            <wp:docPr id="1000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4296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1.5 Clicar no submenu “SERVIÇOS (PORTAL SPU/MP), escolher a opção “TRIAGEM”.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600700" cy="2943225"/>
            <wp:docPr id="1000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193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1.6 Para selecionar um Requerimento para Triagem, adotar os seguintes passos: </w:t>
      </w:r>
    </w:p>
    <w:p>
      <w:pPr>
        <w:pStyle w:val="ModelerNormal"/>
        <w:spacing w:afterAutospacing="1"/>
      </w:pPr>
      <w:r>
        <w:t>1.6.1. Na tela “Triagem”, clicar no campo “Situação”. </w:t>
      </w:r>
    </w:p>
    <w:p>
      <w:pPr>
        <w:pStyle w:val="ModelerNormal"/>
        <w:spacing w:afterAutospacing="1"/>
      </w:pPr>
      <w:r>
        <w:t>1.6.2. Selecionar a opção “Aguardando Triagem”. </w:t>
      </w:r>
    </w:p>
    <w:p>
      <w:pPr>
        <w:pStyle w:val="ModelerNormal"/>
        <w:spacing w:afterAutospacing="1"/>
      </w:pPr>
      <w:r>
        <w:t>1.6.3. Identificar os atendimentos com marcação de prioridade no atendimento, clicando no campo “Serviço com Prioridade no Atendimento”.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353050" cy="2562225"/>
            <wp:docPr id="1000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548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1.6.4 Selecionar a opção “Sim”.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324475" cy="2876550"/>
            <wp:docPr id="1000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5870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1.6.5 Clicar em “Pesquisar”.</w:t>
      </w:r>
    </w:p>
    <w:p>
      <w:pPr>
        <w:pStyle w:val="ModelerNormal"/>
        <w:spacing w:afterAutospacing="1"/>
      </w:pPr>
      <w:r>
        <w:t> </w:t>
      </w:r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32" w:tooltip="Manual_Sistema AcessosMP_Módulo de Serviços.pdf" w:history="1">
        <w:r>
          <w:rPr>
            <w:color w:val="0000FF"/>
            <w:u w:val="single"/>
          </w:rPr>
          <w:t>Manual_Sistema AcessosMP_Módulo de Serviços.pdf</w:t>
        </w:r>
      </w:hyperlink>
    </w:p>
    <w:p>
      <w:pPr>
        <w:pStyle w:val="bizHeading4"/>
      </w:pPr>
      <w:bookmarkStart w:id="12" w:name="_Toc256000009"/>
      <w:r>
        <w:drawing>
          <wp:inline>
            <wp:extent cx="152421" cy="152421"/>
            <wp:docPr id="5548069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03456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Informar Pendência(s) ao Requerente</w:t>
      </w:r>
      <w:bookmarkEnd w:id="12"/>
    </w:p>
    <w:p/>
    <w:p>
      <w:pPr>
        <w:pStyle w:val="BoldModelerNormal"/>
      </w:pPr>
      <w:r>
        <w:t>Descrição</w:t>
      </w:r>
    </w:p>
    <w:p>
      <w:pPr>
        <w:pStyle w:val="ModelerNormal"/>
        <w:spacing w:afterAutospacing="1"/>
      </w:pPr>
      <w:r>
        <w:t>Procedimentos: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 A equipe técnica da </w:t>
      </w:r>
      <w:r>
        <w:t xml:space="preserve">Superintendência/UF, </w:t>
      </w:r>
      <w:r>
        <w:t>após iniciar a triagem, confere os documentos anexados no requerimento cadastrado no Portal de Serviços da SPU e disponibilizado no SPUnet, realizando os passos: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1.1 Analisar o bloco de documentos </w:t>
      </w:r>
      <w:r>
        <w:t>“OBRIGATÓRIOS”</w:t>
      </w:r>
      <w:r>
        <w:t>, podendo responder “Sim” ou “Não” para validação dos documentos apresentados.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438775" cy="2943225"/>
            <wp:docPr id="1000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727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1.2 Se a resposta for “Não”, deverá justificar sua decisão.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495925" cy="2981325"/>
            <wp:docPr id="1000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04589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1.3 E na sequência, deverá marcar a opção “Retornar pendência para o interessado".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505450" cy="2981325"/>
            <wp:docPr id="1000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071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1.4 Além disso, você deve preencher o campo “Anotações Complementares”.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438775" cy="2943225"/>
            <wp:docPr id="1000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617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1.5 Após preencher todos os campos, clique em </w:t>
      </w:r>
      <w:r>
        <w:t>“Enviar”</w:t>
      </w:r>
      <w:r>
        <w:t>. Nesse momento, o interessado receberá um e-mail para que: a) responda as pendências identificadas no requerimento.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</w:t>
      </w:r>
    </w:p>
    <w:p>
      <w:pPr>
        <w:pStyle w:val="bizHeading4"/>
      </w:pPr>
      <w:bookmarkStart w:id="13" w:name="_Toc256000010"/>
      <w:r>
        <w:drawing>
          <wp:inline>
            <wp:extent cx="152421" cy="152421"/>
            <wp:docPr id="88844778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694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Reenviar Requerimento</w:t>
      </w:r>
      <w:bookmarkEnd w:id="13"/>
    </w:p>
    <w:p/>
    <w:p>
      <w:pPr>
        <w:pStyle w:val="BoldModelerNormal"/>
      </w:pPr>
      <w:r>
        <w:t>Descrição</w:t>
      </w:r>
    </w:p>
    <w:p>
      <w:pPr>
        <w:pStyle w:val="ModelerNormal"/>
        <w:spacing w:afterAutospacing="1"/>
      </w:pPr>
      <w:r>
        <w:t>Procedimentos: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 O cidadão/usuário requerente </w:t>
      </w:r>
      <w:r>
        <w:t xml:space="preserve">Providencia a Regularização </w:t>
      </w:r>
      <w:r>
        <w:t xml:space="preserve">das insconsistências dos documentos apresentados mediante as seguintes </w:t>
      </w:r>
      <w:r>
        <w:t>ações</w:t>
      </w:r>
      <w:r>
        <w:t>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1.1 P</w:t>
      </w:r>
      <w:r>
        <w:t>rovidenciar a regularização das inconsistências e informações faltantes e, em seguida, reenviar o pedido para reavaliação de conformidade de dados.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1.2 Os requerimentos não devolvidos com mais de 60 dias da solicitação ao requerente poderão ser cancelados na forma do </w:t>
      </w:r>
      <w:hyperlink r:id="rId37" w:history="1">
        <w:r>
          <w:t>art. 3º, § 4º, da Portaria SPU nº 269, de 04 novembro de 2016</w:t>
        </w:r>
      </w:hyperlink>
      <w:r>
        <w:t>, com a justificativa de não retorno das informações ou documentos solicitados.</w:t>
      </w:r>
      <w:r>
        <w:t> 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"Art 3°, § 4º O requerimento cujas pendências não forem resolvidas no prazo de sessenta dias será arquivado sem análise de mérito, dando-se ciência do arquivamento ao requerente".</w:t>
      </w:r>
      <w:bookmarkStart w:id="14" w:name="_dx_frag_EndFragment"/>
      <w:bookmarkEnd w:id="14"/>
      <w:r>
        <w:t xml:space="preserve"> 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     1.2.1 O cancelamento do requerimento no SPUnet deverá ser fundamento, de modo a evitar questionamentos relacionados à data de conhecimento ou outros motivos que podem ser submetidos à instâncias superiores.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     </w:t>
      </w:r>
      <w:r>
        <w:t xml:space="preserve">Obs.: </w:t>
      </w:r>
      <w:r>
        <w:t xml:space="preserve">O requerimento cujas pendências não forem resolvidas no prazo de sessenta dias será </w:t>
      </w:r>
      <w:r>
        <w:t xml:space="preserve">cancelado </w:t>
      </w:r>
      <w:r>
        <w:t>sem análise de mérito, dando-se ciência do cancelamento ao requerente.</w:t>
      </w:r>
      <w:r>
        <w:t xml:space="preserve"> 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     </w:t>
      </w:r>
      <w:r>
        <w:t> </w:t>
      </w:r>
    </w:p>
    <w:p>
      <w:pPr>
        <w:pStyle w:val="ModelerNormal"/>
        <w:spacing w:afterAutospacing="1"/>
      </w:pPr>
      <w:r>
        <w:t> </w:t>
      </w:r>
    </w:p>
    <w:p>
      <w:pPr>
        <w:pStyle w:val="bizHeading4"/>
      </w:pPr>
      <w:bookmarkStart w:id="15" w:name="_Toc256000011"/>
      <w:r>
        <w:drawing>
          <wp:inline>
            <wp:extent cx="152421" cy="152421"/>
            <wp:docPr id="16455484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6512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Realizar Triagem</w:t>
      </w:r>
      <w:bookmarkEnd w:id="15"/>
    </w:p>
    <w:p/>
    <w:p>
      <w:pPr>
        <w:pStyle w:val="BoldModelerNormal"/>
      </w:pPr>
      <w:r>
        <w:t>Descrição</w:t>
      </w:r>
    </w:p>
    <w:p>
      <w:pPr>
        <w:pStyle w:val="ModelerNormal"/>
        <w:spacing w:afterAutospacing="1"/>
      </w:pPr>
      <w:r>
        <w:t>Procedimentos: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 A equipe técnica da </w:t>
      </w:r>
      <w:r>
        <w:t xml:space="preserve">Superintendência/UF </w:t>
      </w:r>
      <w:r>
        <w:t xml:space="preserve">acessa o portal e </w:t>
      </w:r>
      <w:r>
        <w:t>Realiza os</w:t>
      </w:r>
      <w:r>
        <w:t xml:space="preserve"> </w:t>
      </w:r>
      <w:r>
        <w:t xml:space="preserve">Serviços de Triagem </w:t>
      </w:r>
      <w:r>
        <w:t>de cada requerimento cadastrado no Portal de Serviços da SPU e disponibilizado no SPUnet, realizando os passos: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1.1 Realize a Triagem dos requerimentos identificados com marcação de prioridade no atendimento, clicando no campo "Serviço com Prioridade no Atendimento", e selecione a opção "Sim".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1.2 Identifique o requerimento a ser processado.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1.3 Siga a linha até a coluna </w:t>
      </w:r>
      <w:r>
        <w:t>“Ações”</w:t>
      </w:r>
      <w:r>
        <w:t xml:space="preserve"> e clique nos 3 (três) pontos horizontais. Verifique se aparece o símbolo do </w:t>
      </w:r>
      <w:r>
        <w:t>TRIÂNGULO</w:t>
      </w:r>
      <w:r>
        <w:t>, confirmando que o requerimento é prioritário.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1.4 Clique no símbolo da </w:t>
      </w:r>
      <w:r>
        <w:t>LUPA</w:t>
      </w:r>
      <w:r>
        <w:t xml:space="preserve"> para </w:t>
      </w:r>
      <w:r>
        <w:t>“Detalhar Requerimento”.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1.5 Confira o preenchimento dos dados do interessado.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257800" cy="2847975"/>
            <wp:docPr id="1000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173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1.6 Confira os documentos anexados ao requerimento.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257800" cy="2847975"/>
            <wp:docPr id="1000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54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1.7 Após conferir os dados preenchidos e os documentos anexados, clique no botão </w:t>
      </w:r>
      <w:r>
        <w:t>“Iniciar Triagem”.</w:t>
      </w:r>
    </w:p>
    <w:p>
      <w:pPr>
        <w:pStyle w:val="ModelerNormal"/>
        <w:spacing w:afterAutospacing="1"/>
      </w:pPr>
      <w:r>
        <w:t>  </w:t>
      </w:r>
    </w:p>
    <w:p>
      <w:pPr>
        <w:pStyle w:val="ModelerNormal"/>
        <w:spacing w:afterAutospacing="1"/>
      </w:pPr>
      <w:r>
        <w:drawing>
          <wp:inline>
            <wp:extent cx="5067300" cy="2676525"/>
            <wp:docPr id="1000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53835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1.8 Você procederá o C</w:t>
      </w:r>
      <w:r>
        <w:t>hecklist</w:t>
      </w:r>
      <w:r>
        <w:t xml:space="preserve"> da Triagem respondendo “Sim” ou “Não” nos campos solicitados.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1.9 Se você responder “Sim” no bloco “Atesto para os devidos fins que:”, deverá avançar para análise do bloco de documentos “Obrigatórios”.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562600" cy="3019425"/>
            <wp:docPr id="1000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097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1.10 Se você responder “Não” no bloco “Atesto para os devidos fins que:”, deverá justificar sua resposta.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438775" cy="2943225"/>
            <wp:docPr id="1000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958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1.11 Em seguida, você deverá analisar o bloco de documentos </w:t>
      </w:r>
      <w:r>
        <w:t>“OBRIGATÓRIOS”</w:t>
      </w:r>
      <w:r>
        <w:t>, podendo responder “Sim” ou “Não” para validação dos documentos apresentados.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438775" cy="2943225"/>
            <wp:docPr id="1000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342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1.12 Se a resposta for “Não”, deverá justificar sua decisão.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495925" cy="2990850"/>
            <wp:docPr id="1000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767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1.13 E na sequência, deverá marcar a opção “Retornar pendência para o interessado".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505450" cy="2990850"/>
            <wp:docPr id="1000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07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1.14 Ou marcar a opção “Cancelar requerimento”.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438775" cy="2943225"/>
            <wp:docPr id="1000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503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1.15 Além disso, você deve preencher o campo “Anotações Complementares”.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448300" cy="2943225"/>
            <wp:docPr id="1000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93563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1.16 Após preencher todos os campos, clique em </w:t>
      </w:r>
      <w:r>
        <w:t>“Enviar”</w:t>
      </w:r>
      <w:r>
        <w:t>. Nesse momento, o interessado receberá um e-mail para que: a) responda as pendências identificadas no requerimento; ou b) seja informado que seu requerimento foi cancelado (conforme exemplo abaixo).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457825" cy="3990975"/>
            <wp:docPr id="1000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31399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1.17 Para os casos em que responda “Sim” nos referidos blocos, clique no botão </w:t>
      </w:r>
      <w:r>
        <w:t>“Enviar”</w:t>
      </w:r>
      <w:r>
        <w:t xml:space="preserve">. Nesse momento, o sistema criará automaticamente um Processo SEI que o interessado poderá acompanhar conforme descrito no </w:t>
      </w:r>
      <w:r>
        <w:t>item 1.7.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drawing>
          <wp:inline>
            <wp:extent cx="5448300" cy="2943225"/>
            <wp:docPr id="1000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0783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1.18 Após selecionar os requerimentos prioritários, iniciá-los e realizar sua triagem, você deve realizar o mesmo procedimento com os requerimentos não prioritários. Para isso, retorne ao </w:t>
      </w:r>
      <w:r>
        <w:t>item 1.1</w:t>
      </w:r>
      <w:r>
        <w:t xml:space="preserve"> respondendo ao campo “Serviço com Prioridade no Atendimento” com “Não” e siga o passo-a-passo.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1.19 Nesse caso, priorize os requerimentos mais antigos, aplicando o filtro por período ou a barra de movimentação de tela, a fim de identificá-los.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 1.20 Em caso de ajustes de informações ou documentos fora do prazo de 60 dias de quando solicitados, o cancelamento do requerimento no SPUnet deverá ser fundamento, de modo a evitar questionamentos relacionados à data de conhecimento ou outros motivos que podem ser submetidos à instâncias superiores.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     </w:t>
      </w:r>
      <w:r>
        <w:t xml:space="preserve">Obs.: </w:t>
      </w:r>
      <w:r>
        <w:t xml:space="preserve">O requerimento cujas pendências não forem resolvidas no prazo de sessenta dias será </w:t>
      </w:r>
      <w:r>
        <w:t xml:space="preserve">cancelado </w:t>
      </w:r>
      <w:r>
        <w:t>sem análise de mérito, dando-se ciência do cancelamento ao requerente.</w:t>
      </w:r>
      <w:r>
        <w:t xml:space="preserve"> </w:t>
      </w:r>
    </w:p>
    <w:p>
      <w:pPr>
        <w:pStyle w:val="ModelerNormal"/>
        <w:spacing w:afterAutospacing="1"/>
      </w:pPr>
      <w:r>
        <w:t> </w:t>
      </w:r>
    </w:p>
    <w:p>
      <w:pPr>
        <w:pStyle w:val="bizHeading4"/>
      </w:pPr>
      <w:bookmarkStart w:id="16" w:name="_Toc256000012"/>
      <w:r>
        <w:drawing>
          <wp:inline>
            <wp:extent cx="152421" cy="152421"/>
            <wp:docPr id="15028417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82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Realizar Análise Técnica</w:t>
      </w:r>
      <w:bookmarkEnd w:id="16"/>
    </w:p>
    <w:p/>
    <w:p>
      <w:pPr>
        <w:pStyle w:val="BoldModelerNormal"/>
      </w:pPr>
      <w:r>
        <w:t>Descrição</w:t>
      </w:r>
    </w:p>
    <w:p>
      <w:pPr>
        <w:pStyle w:val="ModelerNormal"/>
        <w:spacing w:afterAutospacing="1"/>
      </w:pPr>
      <w:r>
        <w:t>Procedimentos: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 A equipe técnica da </w:t>
      </w:r>
      <w:r>
        <w:t>Superintendência/UF</w:t>
      </w:r>
      <w:r>
        <w:t xml:space="preserve"> após a conformidade dos documentos </w:t>
      </w:r>
      <w:r>
        <w:t xml:space="preserve">Realiza a Análise Técnica </w:t>
      </w:r>
      <w:r>
        <w:t>de cada requerimento cadastrado no Portal de Serviços da SPU e disponibilizado no SPUnet, realizando as seguintes ações: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</w:t>
      </w:r>
      <w:r>
        <w:t>1.1 Verifique os requerimentos na situação "Em Análise Técnica", selecionando os atendimentos prioritários e aqueles mais antigos.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</w:t>
      </w:r>
      <w:r>
        <w:t xml:space="preserve">1.2 </w:t>
      </w:r>
      <w:r>
        <w:t>Identifique o processo SEI criado para o requerimento.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1.3 A</w:t>
      </w:r>
      <w:r>
        <w:t xml:space="preserve"> análise técnica é realizada pelo SEI e depende de cada setor de análise.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 1.4 Quando for autuar o processo, verificar se está na caixa específica do SEI.</w:t>
      </w:r>
    </w:p>
    <w:p>
      <w:pPr>
        <w:pStyle w:val="bizHeading4"/>
      </w:pPr>
      <w:bookmarkStart w:id="17" w:name="_Toc256000013"/>
      <w:r>
        <w:drawing>
          <wp:inline>
            <wp:extent cx="152421" cy="152421"/>
            <wp:docPr id="1356273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15811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Informar Decisão do Requerimento</w:t>
      </w:r>
      <w:bookmarkEnd w:id="17"/>
    </w:p>
    <w:p/>
    <w:p>
      <w:pPr>
        <w:pStyle w:val="BoldModelerNormal"/>
      </w:pPr>
      <w:r>
        <w:t>Descrição</w:t>
      </w:r>
    </w:p>
    <w:p>
      <w:pPr>
        <w:pStyle w:val="ModelerNormal"/>
        <w:spacing w:afterAutospacing="1"/>
      </w:pPr>
      <w:r>
        <w:t>Procedimentos: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1. A equipe técnica da </w:t>
      </w:r>
      <w:r>
        <w:t>Superintendência/UF</w:t>
      </w:r>
      <w:r>
        <w:t xml:space="preserve"> após a análise </w:t>
      </w:r>
      <w:r>
        <w:t xml:space="preserve">Decide sobre o Requerimento e Informa o requerente </w:t>
      </w:r>
      <w:r>
        <w:t>de cada requerimento cadastrado no Portal de Serviços da SPU e disponibilizado no SPUnet, realizando as seguintes ações: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>      </w:t>
      </w:r>
      <w:r>
        <w:t xml:space="preserve">1.1 Após a análise no SEI e </w:t>
      </w:r>
      <w:r>
        <w:t xml:space="preserve">decisão em relação ao requerimento </w:t>
      </w:r>
      <w:r>
        <w:t>realize a</w:t>
      </w:r>
      <w:r>
        <w:t xml:space="preserve"> finalização do processo no SEI </w:t>
      </w:r>
      <w:r>
        <w:t>(favorável ou desfavorável).</w:t>
      </w:r>
    </w:p>
    <w:p>
      <w:pPr>
        <w:pStyle w:val="ModelerNormal"/>
        <w:spacing w:afterAutospacing="1"/>
      </w:pPr>
      <w:r>
        <w:t> </w:t>
      </w:r>
    </w:p>
    <w:p>
      <w:pPr>
        <w:pStyle w:val="ModelerNormal"/>
        <w:spacing w:afterAutospacing="1"/>
      </w:pPr>
      <w:r>
        <w:t xml:space="preserve">      </w:t>
      </w:r>
      <w:r>
        <w:t>1.2 Acesse o requerimento no SPUnet e, role a tela até o final, clique na opção “Selecionar Arquivo”, insira o documento que contenha a decisão final da SPU</w:t>
      </w:r>
      <w:r>
        <w:t xml:space="preserve"> </w:t>
      </w:r>
      <w:r>
        <w:t xml:space="preserve">(despacho, declaração, extrato, informação etc.) e efetue o comando de </w:t>
      </w:r>
      <w:r>
        <w:t xml:space="preserve">conclusão no SPUnet </w:t>
      </w:r>
      <w:r>
        <w:t>(deferimento, indeferimento e cancelar).</w:t>
      </w:r>
    </w:p>
    <w:p>
      <w:pPr>
        <w:pStyle w:val="ModelerNormal"/>
        <w:spacing w:afterAutospacing="1"/>
      </w:pPr>
      <w:r>
        <w:t>     </w:t>
      </w:r>
    </w:p>
    <w:p>
      <w:pPr>
        <w:pStyle w:val="ModelerNormal"/>
        <w:spacing w:afterAutospacing="1"/>
      </w:pPr>
      <w:r>
        <w:t xml:space="preserve">      1.3 O requerente receberá a </w:t>
      </w:r>
      <w:r>
        <w:t>resposta definitiva</w:t>
      </w:r>
      <w:r>
        <w:t xml:space="preserve"> sobre seu pleito pelo endereço de correio eletrônico informado no requerimento.</w:t>
      </w:r>
    </w:p>
    <w:p>
      <w:pPr>
        <w:pStyle w:val="ModelerNormal"/>
        <w:spacing w:afterAutospacing="1"/>
      </w:pPr>
      <w:r>
        <w:t>      </w:t>
      </w:r>
    </w:p>
    <w:p>
      <w:pPr>
        <w:pStyle w:val="ModelerNormal"/>
        <w:spacing w:afterAutospacing="1"/>
      </w:pPr>
      <w:r>
        <w:t>      1.4 A entrega de serviço que não depende de assinatura do cidadão/usuário deve ser sempre enviada via Portal de Serviços da SPU, não necessitando de envio de correspondências que oneram à SPU.</w:t>
      </w:r>
    </w:p>
    <w:p>
      <w:pPr>
        <w:pStyle w:val="ModelerNormal"/>
        <w:spacing w:afterAutospacing="1"/>
      </w:pPr>
      <w:r>
        <w:t>     </w:t>
      </w:r>
    </w:p>
    <w:p>
      <w:pPr>
        <w:pStyle w:val="ModelerNormal"/>
        <w:spacing w:afterAutospacing="1"/>
      </w:pPr>
      <w:r>
        <w:t>      1.5 Se necessário, preencha o campo "Anotações Complementares" com informações que possam auxiliar a resposta ao requerente.</w:t>
      </w:r>
    </w:p>
    <w:p>
      <w:pPr>
        <w:pStyle w:val="ModelerNormal"/>
        <w:spacing w:afterAutospacing="1"/>
      </w:pPr>
      <w:r>
        <w:t> </w:t>
      </w:r>
    </w:p>
    <w:p/>
    <w:sectPr>
      <w:pgSz w:w="12240" w:h="15840"/>
      <w:pgMar w:top="1616" w:right="1701" w:bottom="1418" w:left="1701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o Sans Std">
    <w:panose1 w:val="020B0504030504040204"/>
    <w:charset w:val="00"/>
    <w:family w:val="swiss"/>
    <w:pitch w:val="variable"/>
    <w:sig w:usb0="800000AF" w:usb1="5000205B" w:usb2="00000000" w:usb3="00000000" w:csb0="00000001" w:csb1="00000000"/>
  </w:font>
  <w:font w:name="Aller">
    <w:altName w:val="Corbel"/>
    <w:panose1 w:val="02000503030000020004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panose1 w:val="02000503000000020004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P="00F05C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03BE" w:rsidP="00B603B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6E" w:rsidRPr="003B5308" w:rsidP="003B5308">
    <w:pPr>
      <w:pStyle w:val="Footer"/>
      <w:rPr>
        <w:i/>
        <w:iCs/>
        <w:lang w:val="es-CO"/>
      </w:rPr>
    </w:pPr>
    <w:r>
      <w:rPr>
        <w:i/>
        <w:iCs/>
        <w:noProof/>
        <w:lang w:val="es-CO" w:eastAsia="es-CO" w:bidi="b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03.2pt;height:26.5pt;margin-top:-19.35pt;margin-left:-46.95pt;position:absolute;z-index:-251658240" stroked="f">
          <v:textbox>
            <w:txbxContent>
              <w:p w:rsidR="003B5308" w:rsidRPr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www.bizag</w:t>
                  </w:r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i</w:t>
                  </w:r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.com</w:t>
                  </w:r>
                </w:hyperlink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308">
    <w:pPr>
      <w:pStyle w:val="Footer"/>
    </w:pPr>
    <w:r>
      <w:rPr>
        <w:noProof/>
        <w:lang w:val="es-CO" w:eastAsia="es-CO" w:bidi="b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03.2pt;height:26.5pt;margin-top:-16.45pt;margin-left:-49.65pt;position:absolute;z-index:251659264" stroked="f">
          <v:textbox>
            <w:txbxContent>
              <w:p w:rsidR="003B5308" w:rsidRPr="003B5308" w:rsidP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www.bizagi.com</w:t>
                  </w:r>
                </w:hyperlink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AE3ACF" w:rsidP="006A5345">
    <w:pPr>
      <w:pStyle w:val="Confidential"/>
      <w:jc w:val="center"/>
    </w:pPr>
    <w:r w:rsidR="00A50009">
      <w:t>www.bizagi.com</w:t>
    </w:r>
    <w:r w:rsidR="00463079">
      <w:t xml:space="preserve">                                          </w:t>
    </w:r>
    <w:r w:rsidR="00A50009">
      <w:t xml:space="preserve">  </w:t>
    </w:r>
    <w:r w:rsidR="00463079">
      <w:t xml:space="preserve">     </w:t>
    </w:r>
    <w:r w:rsidRPr="00463079" w:rsidR="00463079">
      <w:rPr>
        <w:sz w:val="18"/>
        <w:szCs w:val="18"/>
      </w:rPr>
      <w:t>Confidential</w:t>
    </w:r>
    <w:r w:rsidR="00463079">
      <w:t xml:space="preserve">                        </w:t>
    </w:r>
    <w:r w:rsidR="00A50009">
      <w:t xml:space="preserve">                       </w:t>
    </w:r>
    <w:r w:rsidR="00A33804">
      <w:t xml:space="preserve">               </w:t>
    </w:r>
    <w:r w:rsidRPr="00A50009" w:rsidR="00463079">
      <w:rPr>
        <w:i w:val="0"/>
        <w:iCs/>
        <w:sz w:val="18"/>
        <w:szCs w:val="18"/>
      </w:rPr>
      <w:t xml:space="preserve">| </w:t>
    </w:r>
    <w:r w:rsidRPr="00A50009" w:rsidR="00463079">
      <w:rPr>
        <w:i w:val="0"/>
        <w:iCs/>
        <w:sz w:val="18"/>
        <w:szCs w:val="18"/>
      </w:rPr>
      <w:fldChar w:fldCharType="begin"/>
    </w:r>
    <w:r w:rsidRPr="00A50009" w:rsidR="00463079">
      <w:rPr>
        <w:i w:val="0"/>
        <w:iCs/>
        <w:sz w:val="18"/>
        <w:szCs w:val="18"/>
      </w:rPr>
      <w:instrText xml:space="preserve"> PAGE   \* MERGEFORMAT </w:instrText>
    </w:r>
    <w:r w:rsidRPr="00A50009" w:rsidR="0046307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30</w:t>
    </w:r>
    <w:r w:rsidRPr="00A50009" w:rsidR="00463079">
      <w:rPr>
        <w:i w:val="0"/>
        <w:iCs/>
        <w:noProof/>
        <w:sz w:val="18"/>
        <w:szCs w:val="18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9A" w:rsidP="00275F9A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168.53pt;height:46.21pt" stroked="f">
          <v:imagedata r:id="rId1" o:title=""/>
        </v:shape>
      </w:pict>
    </w:r>
    <w:r>
      <w:rPr>
        <w:noProof/>
      </w:rPr>
      <w:pict>
        <v:shape id="Picture 18" o:spid="_x0000_s2050" type="#_x0000_t75" style="width:602.95pt;height:432.85pt;margin-top:-35.25pt;margin-left:-84.45pt;mso-height-relative:margin;mso-width-relative:margin;position:absolute;visibility:visible;z-index:-251655168" filled="f" stroked="f">
          <v:imagedata r:id="rId2" o:title=""/>
          <o:lock v:ext="edit" aspectratio="t"/>
        </v:shape>
      </w:pict>
    </w:r>
  </w:p>
  <w:p w:rsidR="00275F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B603BE">
    <w:pPr>
      <w:pStyle w:val="Header"/>
      <w:rPr>
        <w:lang w:val="es-ES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3" type="#_x0000_t75" style="width:96.61pt;height:26.43pt" stroked="f"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1EE" w:rsidP="001B21EE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4" type="#_x0000_t75" style="width:125.48pt;height:45.72pt" stroked="f">
          <v:imagedata r:id="rId1" o:title="bizagiLogo"/>
        </v:shape>
      </w:pict>
    </w:r>
  </w:p>
  <w:p w:rsidR="00275F9A">
    <w:pPr>
      <w:pStyle w:val="Header"/>
    </w:pPr>
    <w:r>
      <w:rPr>
        <w:noProof/>
      </w:rPr>
      <w:pict>
        <v:shape id="_x0000_s2055" type="#_x0000_t75" style="width:376.3pt;height:534.55pt;margin-top:151.95pt;margin-left:-85.4pt;mso-position-horizontal-relative:margin;mso-position-vertical-relative:margin;position:absolute;z-index:-251656192" stroked="f">
          <v:imagedata r:id="rId2" o:title="originalBizagiBackground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0A4"/>
    <w:multiLevelType w:val="multilevel"/>
    <w:tmpl w:val="D42ACEBE"/>
    <w:numStyleLink w:val="Headings"/>
  </w:abstractNum>
  <w:abstractNum w:abstractNumId="1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>
    <w:nsid w:val="298877DF"/>
    <w:multiLevelType w:val="hybridMultilevel"/>
    <w:tmpl w:val="2FF64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94FAE"/>
    <w:multiLevelType w:val="multilevel"/>
    <w:tmpl w:val="D42ACEBE"/>
    <w:numStyleLink w:val="Headings"/>
  </w:abstractNum>
  <w:abstractNum w:abstractNumId="4">
    <w:nsid w:val="44B055A6"/>
    <w:multiLevelType w:val="multilevel"/>
    <w:tmpl w:val="D42ACEBE"/>
    <w:numStyleLink w:val="Headings"/>
  </w:abstractNum>
  <w:abstractNum w:abstractNumId="5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>
    <w:nsid w:val="4BE02392"/>
    <w:multiLevelType w:val="multilevel"/>
    <w:tmpl w:val="9B52074E"/>
    <w:numStyleLink w:val="Headings"/>
  </w:abstractNum>
  <w:abstractNum w:abstractNumId="7">
    <w:nsid w:val="681C5AA5"/>
    <w:multiLevelType w:val="multilevel"/>
    <w:tmpl w:val="35E627E4"/>
    <w:numStyleLink w:val="Headings"/>
  </w:abstractNum>
  <w:abstractNum w:abstractNumId="8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BAF63F9"/>
    <w:multiLevelType w:val="hybridMultilevel"/>
    <w:tmpl w:val="0BAADF2C"/>
    <w:lvl w:ilvl="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1314F"/>
    <w:multiLevelType w:val="hybridMultilevel"/>
    <w:tmpl w:val="0F64E4CC"/>
    <w:lvl w:ilvl="0">
      <w:start w:val="1"/>
      <w:numFmt w:val="bullet"/>
      <w:pStyle w:val="ListBullet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4DCE"/>
    <w:rsid w:val="00422C9A"/>
    <w:rsid w:val="004255C7"/>
    <w:rsid w:val="00425E09"/>
    <w:rsid w:val="0043331B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4EC"/>
    <w:rsid w:val="00E00DE0"/>
    <w:rsid w:val="00E07B66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FFC"/>
    <w:rsid w:val="00F95652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39" w:unhideWhenUsed="0"/>
    <w:lsdException w:name="toc 5" w:semiHidden="0" w:uiPriority="0" w:unhideWhenUsed="0"/>
    <w:lsdException w:name="toc 6" w:semiHidden="0" w:uiPriority="39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1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11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nhideWhenUsed="0"/>
    <w:lsdException w:name="Table Grid" w:semiHidden="0" w:uiPriority="5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  <w:lang w:val="en-US" w:eastAsia="en-US" w:bidi="ar-SA"/>
    </w:rPr>
  </w:style>
  <w:style w:type="paragraph" w:styleId="Heading1">
    <w:name w:val="heading 1"/>
    <w:next w:val="Normal"/>
    <w:link w:val="Ttulo1Ca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Heading2">
    <w:name w:val="heading 2"/>
    <w:basedOn w:val="Normal"/>
    <w:next w:val="Normal"/>
    <w:link w:val="Ttulo2Ca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Heading3">
    <w:name w:val="heading 3"/>
    <w:basedOn w:val="Normal"/>
    <w:next w:val="Normal"/>
    <w:link w:val="Ttulo3Ca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Heading4">
    <w:name w:val="heading 4"/>
    <w:next w:val="Normal"/>
    <w:link w:val="Ttulo4Ca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  <w:lang w:val="en-US" w:eastAsia="en-US" w:bidi="ar-SA"/>
    </w:rPr>
  </w:style>
  <w:style w:type="paragraph" w:styleId="Heading5">
    <w:name w:val="heading 5"/>
    <w:next w:val="Normal"/>
    <w:link w:val="Ttulo5Ca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styleId="Heading6">
    <w:name w:val="heading 6"/>
    <w:next w:val="Normal"/>
    <w:link w:val="Ttulo6Ca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styleId="Heading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  <w:rsid w:val="00E41A0B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41A0B"/>
  </w:style>
  <w:style w:type="character" w:customStyle="1" w:styleId="Ttulo1Car">
    <w:name w:val="Título 1 Car"/>
    <w:link w:val="Heading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TOC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TOC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TOC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yperlink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Header">
    <w:name w:val="header"/>
    <w:basedOn w:val="Normal"/>
    <w:link w:val="EncabezadoCa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Footer">
    <w:name w:val="footer"/>
    <w:basedOn w:val="Normal"/>
    <w:link w:val="PiedepginaCa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PageNumber">
    <w:name w:val="page number"/>
    <w:basedOn w:val="DefaultParagraphFont"/>
    <w:rsid w:val="00A55D18"/>
  </w:style>
  <w:style w:type="paragraph" w:customStyle="1" w:styleId="Titular">
    <w:name w:val="Titular"/>
    <w:basedOn w:val="Heading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BodyText">
    <w:name w:val="Body Text"/>
    <w:basedOn w:val="Normal"/>
    <w:link w:val="TextoindependienteCa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leGrid">
    <w:name w:val="Table Grid"/>
    <w:basedOn w:val="Table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FootnoteText">
    <w:name w:val="footnote text"/>
    <w:basedOn w:val="Normal"/>
    <w:semiHidden/>
    <w:rsid w:val="00AE3ACF"/>
  </w:style>
  <w:style w:type="character" w:styleId="FootnoteReference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  <w:jc w:val="left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  <w:pPr>
      <w:numPr>
        <w:ilvl w:val="0"/>
        <w:numId w:val="0"/>
      </w:numPr>
    </w:pPr>
  </w:style>
  <w:style w:type="numbering" w:customStyle="1" w:styleId="Lista1">
    <w:name w:val="Lista1"/>
    <w:basedOn w:val="NoList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TOC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Heading1"/>
    <w:next w:val="ModelerNormal"/>
    <w:qFormat/>
    <w:rsid w:val="004C30E2"/>
    <w:pPr>
      <w:keepNext/>
      <w:keepLines/>
      <w:numPr>
        <w:ilvl w:val="0"/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eastAsia="Times New Roman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Heading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Heading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Heading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Heading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bCs w:val="0"/>
      <w:color w:val="5F6E7C"/>
      <w:sz w:val="26"/>
      <w:szCs w:val="20"/>
      <w:lang w:val="en-AU"/>
    </w:rPr>
  </w:style>
  <w:style w:type="paragraph" w:styleId="BalloonText">
    <w:name w:val="Balloon Text"/>
    <w:basedOn w:val="Normal"/>
    <w:link w:val="TextodegloboCa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BalloonText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ilvl w:val="0"/>
        <w:numId w:val="2"/>
      </w:numPr>
    </w:pPr>
  </w:style>
  <w:style w:type="character" w:customStyle="1" w:styleId="EncabezadoCar">
    <w:name w:val="Encabezado Car"/>
    <w:link w:val="Header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ar">
    <w:name w:val="Título 2 Car"/>
    <w:link w:val="Heading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TextoindependienteCar">
    <w:name w:val="Texto independiente Car"/>
    <w:link w:val="BodyText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ilvl w:val="0"/>
        <w:numId w:val="0"/>
      </w:numPr>
    </w:pPr>
  </w:style>
  <w:style w:type="character" w:customStyle="1" w:styleId="Ttulo3Car">
    <w:name w:val="Título 3 Car"/>
    <w:link w:val="Heading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ar">
    <w:name w:val="Título 4 Car"/>
    <w:link w:val="Heading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ar">
    <w:name w:val="Título 5 Car"/>
    <w:link w:val="Heading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Emphasis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PiedepginaCar">
    <w:name w:val="Pie de página Car"/>
    <w:link w:val="Footer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ar">
    <w:name w:val="Título 6 Car"/>
    <w:link w:val="Heading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0">
    <w:name w:val="heading4"/>
    <w:basedOn w:val="Heading3"/>
    <w:rsid w:val="00E41A0B"/>
    <w:pPr>
      <w:numPr>
        <w:ilvl w:val="0"/>
        <w:numId w:val="0"/>
      </w:num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ListBullet">
    <w:name w:val="List Bullet"/>
    <w:basedOn w:val="Normal"/>
    <w:rsid w:val="00E41A0B"/>
    <w:pPr>
      <w:numPr>
        <w:ilvl w:val="0"/>
        <w:numId w:val="3"/>
      </w:numPr>
      <w:spacing w:after="240" w:line="260" w:lineRule="exact"/>
    </w:pPr>
    <w:rPr>
      <w:rFonts w:eastAsia="Times New Roman"/>
      <w:szCs w:val="20"/>
    </w:rPr>
  </w:style>
  <w:style w:type="paragraph" w:styleId="NoSpacing">
    <w:name w:val="No Spacing"/>
    <w:link w:val="SinespaciadoCar"/>
    <w:uiPriority w:val="1"/>
    <w:qFormat/>
    <w:rsid w:val="00E41A0B"/>
    <w:rPr>
      <w:rFonts w:ascii="Calibri" w:hAnsi="Calibri"/>
      <w:sz w:val="22"/>
      <w:szCs w:val="22"/>
      <w:lang w:val="en-US" w:eastAsia="en-US" w:bidi="ar-SA"/>
    </w:rPr>
  </w:style>
  <w:style w:type="character" w:customStyle="1" w:styleId="SinespaciadoCar">
    <w:name w:val="Sin espaciado Car"/>
    <w:link w:val="NoSpacing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0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  <w:lang w:val="en-US" w:eastAsia="en-US" w:bidi="ar-SA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Heading1"/>
    <w:rsid w:val="00E41A0B"/>
    <w:pPr>
      <w:numPr>
        <w:ilvl w:val="0"/>
        <w:numId w:val="0"/>
      </w:numPr>
    </w:pPr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 w:eastAsia="en-US" w:bidi="ar-SA"/>
    </w:rPr>
  </w:style>
  <w:style w:type="paragraph" w:styleId="TOAHeading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TOC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TOC6">
    <w:name w:val="toc 6"/>
    <w:basedOn w:val="TOC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Footer"/>
    <w:qFormat/>
    <w:rsid w:val="00E41A0B"/>
    <w:pPr>
      <w:tabs>
        <w:tab w:val="clear" w:pos="4419"/>
        <w:tab w:val="center" w:pos="4680"/>
        <w:tab w:val="clear" w:pos="8838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itle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itle"/>
    <w:next w:val="Subtitle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itle">
    <w:name w:val="Title"/>
    <w:basedOn w:val="Normal"/>
    <w:next w:val="Normal"/>
    <w:link w:val="TtuloCa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ar">
    <w:name w:val="Título Car"/>
    <w:link w:val="Title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itle">
    <w:name w:val="Subtitle"/>
    <w:basedOn w:val="Normal"/>
    <w:next w:val="Normal"/>
    <w:link w:val="SubttuloCa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ar">
    <w:name w:val="Subtítulo Car"/>
    <w:link w:val="Subtitle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footer" Target="footer4.xml" /><Relationship Id="rId14" Type="http://schemas.openxmlformats.org/officeDocument/2006/relationships/header" Target="header4.xml" /><Relationship Id="rId15" Type="http://schemas.openxmlformats.org/officeDocument/2006/relationships/image" Target="media/image6.emf" /><Relationship Id="rId16" Type="http://schemas.openxmlformats.org/officeDocument/2006/relationships/hyperlink" Target="https://sistema.patrimoniodetodos.gov.br" TargetMode="External" /><Relationship Id="rId17" Type="http://schemas.openxmlformats.org/officeDocument/2006/relationships/image" Target="media/image7.png" /><Relationship Id="rId18" Type="http://schemas.openxmlformats.org/officeDocument/2006/relationships/image" Target="media/image8.jpeg" /><Relationship Id="rId19" Type="http://schemas.openxmlformats.org/officeDocument/2006/relationships/image" Target="media/image9.jpeg" /><Relationship Id="rId2" Type="http://schemas.openxmlformats.org/officeDocument/2006/relationships/webSettings" Target="webSettings.xml" /><Relationship Id="rId20" Type="http://schemas.openxmlformats.org/officeDocument/2006/relationships/image" Target="media/image10.jpeg" /><Relationship Id="rId21" Type="http://schemas.openxmlformats.org/officeDocument/2006/relationships/image" Target="media/image11.jpeg" /><Relationship Id="rId22" Type="http://schemas.openxmlformats.org/officeDocument/2006/relationships/image" Target="media/image12.jpeg" /><Relationship Id="rId23" Type="http://schemas.openxmlformats.org/officeDocument/2006/relationships/image" Target="media/image13.jpeg" /><Relationship Id="rId24" Type="http://schemas.openxmlformats.org/officeDocument/2006/relationships/image" Target="media/image14.jpeg" /><Relationship Id="rId25" Type="http://schemas.openxmlformats.org/officeDocument/2006/relationships/image" Target="media/image15.jpeg" /><Relationship Id="rId26" Type="http://schemas.openxmlformats.org/officeDocument/2006/relationships/hyperlink" Target="https://memoria-spu.gestao.gov.br/publicacoes-e-relatorios-institucionais/manual_sistema-acessosmp_modulo-de-servicos/" TargetMode="External" /><Relationship Id="rId27" Type="http://schemas.openxmlformats.org/officeDocument/2006/relationships/hyperlink" Target="https://spunet.economia.gov.br" TargetMode="External" /><Relationship Id="rId28" Type="http://schemas.openxmlformats.org/officeDocument/2006/relationships/image" Target="media/image16.jpeg" /><Relationship Id="rId29" Type="http://schemas.openxmlformats.org/officeDocument/2006/relationships/image" Target="media/image17.png" /><Relationship Id="rId3" Type="http://schemas.openxmlformats.org/officeDocument/2006/relationships/fontTable" Target="fontTable.xml" /><Relationship Id="rId30" Type="http://schemas.openxmlformats.org/officeDocument/2006/relationships/image" Target="media/image18.jpeg" /><Relationship Id="rId31" Type="http://schemas.openxmlformats.org/officeDocument/2006/relationships/image" Target="media/image19.jpeg" /><Relationship Id="rId32" Type="http://schemas.openxmlformats.org/officeDocument/2006/relationships/hyperlink" Target="Tratamento de Requerimento no Portal de Servi&#231;os da SPU_V1-0_files/files/attachments/Manual_Sistema AcessosMP_Modulo de Servicos.pdf" TargetMode="External" /><Relationship Id="rId33" Type="http://schemas.openxmlformats.org/officeDocument/2006/relationships/image" Target="media/image20.jpeg" /><Relationship Id="rId34" Type="http://schemas.openxmlformats.org/officeDocument/2006/relationships/image" Target="media/image21.jpeg" /><Relationship Id="rId35" Type="http://schemas.openxmlformats.org/officeDocument/2006/relationships/image" Target="media/image22.jpeg" /><Relationship Id="rId36" Type="http://schemas.openxmlformats.org/officeDocument/2006/relationships/image" Target="media/image23.jpeg" /><Relationship Id="rId37" Type="http://schemas.openxmlformats.org/officeDocument/2006/relationships/hyperlink" Target="http://www.in.gov.br/materia/-/asset_publisher/Kujrw0TZC2Mb/content/id/24498457/do1-2016-11-07-portaria-n-269-de-4-de-novembro-de-2016-24498322" TargetMode="External" /><Relationship Id="rId38" Type="http://schemas.openxmlformats.org/officeDocument/2006/relationships/image" Target="media/image24.jpeg" /><Relationship Id="rId39" Type="http://schemas.openxmlformats.org/officeDocument/2006/relationships/image" Target="media/image25.jpeg" /><Relationship Id="rId4" Type="http://schemas.openxmlformats.org/officeDocument/2006/relationships/customXml" Target="../customXml/item1.xml" /><Relationship Id="rId40" Type="http://schemas.openxmlformats.org/officeDocument/2006/relationships/image" Target="media/image26.png" /><Relationship Id="rId41" Type="http://schemas.openxmlformats.org/officeDocument/2006/relationships/image" Target="media/image27.jpeg" /><Relationship Id="rId42" Type="http://schemas.openxmlformats.org/officeDocument/2006/relationships/image" Target="media/image28.jpeg" /><Relationship Id="rId43" Type="http://schemas.openxmlformats.org/officeDocument/2006/relationships/image" Target="media/image29.jpeg" /><Relationship Id="rId44" Type="http://schemas.openxmlformats.org/officeDocument/2006/relationships/image" Target="media/image30.jpeg" /><Relationship Id="rId45" Type="http://schemas.openxmlformats.org/officeDocument/2006/relationships/image" Target="media/image31.png" /><Relationship Id="rId46" Type="http://schemas.openxmlformats.org/officeDocument/2006/relationships/numbering" Target="numbering.xml" /><Relationship Id="rId47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hyperlink" Target="www.bizagi.com" TargetMode="External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hyperlink" Target="www.bizagi.com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</dc:creator>
  <cp:lastModifiedBy>sanch</cp:lastModifiedBy>
  <cp:revision>1</cp:revision>
  <dcterms:created xsi:type="dcterms:W3CDTF">2014-03-13T20:06:00Z</dcterms:created>
  <dcterms:modified xsi:type="dcterms:W3CDTF">2021-06-30T16:18:00Z</dcterms:modified>
</cp:coreProperties>
</file>